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47" w:rsidRDefault="00E17347" w:rsidP="00E1734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rPr>
          <w:b/>
        </w:rPr>
      </w:pPr>
      <w:r w:rsidRPr="00E17347">
        <w:rPr>
          <w:b/>
        </w:rPr>
        <w:t>Pol</w:t>
      </w:r>
      <w:r>
        <w:rPr>
          <w:b/>
        </w:rPr>
        <w:t>itisches Forum Mehr Mut zur Tat</w:t>
      </w:r>
    </w:p>
    <w:p w:rsidR="00E17347" w:rsidRPr="00E17347" w:rsidRDefault="00E17347" w:rsidP="00E1734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rPr>
          <w:b/>
        </w:rPr>
      </w:pPr>
      <w:r w:rsidRPr="00E17347">
        <w:rPr>
          <w:b/>
        </w:rPr>
        <w:t xml:space="preserve">Thesen zur </w:t>
      </w:r>
      <w:r>
        <w:rPr>
          <w:b/>
        </w:rPr>
        <w:t>Sozialpolitik (Altersvorsorge und Mindestsicherung)</w:t>
      </w:r>
    </w:p>
    <w:p w:rsidR="00E17347" w:rsidRDefault="00E17347" w:rsidP="00E1734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</w:pPr>
      <w:r>
        <w:t xml:space="preserve">Stand: </w:t>
      </w:r>
      <w:r w:rsidR="00EF1B81">
        <w:t>3.3.</w:t>
      </w:r>
      <w:bookmarkStart w:id="0" w:name="_GoBack"/>
      <w:bookmarkEnd w:id="0"/>
      <w:r>
        <w:t>2019</w:t>
      </w:r>
    </w:p>
    <w:p w:rsidR="00E17347" w:rsidRDefault="00E17347" w:rsidP="00E1734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</w:pPr>
    </w:p>
    <w:p w:rsidR="00E17347" w:rsidRDefault="00AB3DD0" w:rsidP="00946627">
      <w:pPr>
        <w:pStyle w:val="Listenabsatz"/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  <w:r>
        <w:t xml:space="preserve">Die Gesetzliche Rentenversicherung </w:t>
      </w:r>
      <w:r w:rsidR="00E17347">
        <w:t>ist ein Umlagesystem, in dem</w:t>
      </w:r>
      <w:r w:rsidR="002911BB">
        <w:t xml:space="preserve"> grundsätzlich</w:t>
      </w:r>
      <w:r w:rsidR="00E17347">
        <w:t xml:space="preserve"> nur das an Renten ausgezahlt werden kann, was die Beitragszahler und ihre Arbeitgeber einzahlen. </w:t>
      </w:r>
      <w:r w:rsidR="00735851">
        <w:t xml:space="preserve">Faustformel: </w:t>
      </w:r>
      <w:r w:rsidR="00E17347">
        <w:t>Wenn ein durchschnittlicher Rentner 60% seines Erwerbs</w:t>
      </w:r>
      <w:r w:rsidR="00735851">
        <w:softHyphen/>
      </w:r>
      <w:r w:rsidR="00E17347">
        <w:t>einkommens als Rente erhalten und der Beitragssatz 20% betragen soll, müssen drei Erwerbstätige einen Rentner finanzieren. Das bedeutet auch, dass jeder Rentner dreimal so lange eingezahlt haben muss als er Rente bezieht.</w:t>
      </w:r>
    </w:p>
    <w:p w:rsidR="00E17347" w:rsidRDefault="00E17347" w:rsidP="0094662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</w:p>
    <w:p w:rsidR="003531D2" w:rsidRDefault="00E17347" w:rsidP="00946627">
      <w:pPr>
        <w:pStyle w:val="Listenabsatz"/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  <w:r>
        <w:t>Diese mathematisch</w:t>
      </w:r>
      <w:r w:rsidR="00992B3A">
        <w:t>e</w:t>
      </w:r>
      <w:r>
        <w:t xml:space="preserve"> Logik </w:t>
      </w:r>
      <w:r w:rsidR="0027035D">
        <w:t xml:space="preserve">war </w:t>
      </w:r>
      <w:r>
        <w:t>auch jahrelang</w:t>
      </w:r>
      <w:r w:rsidR="0027035D">
        <w:t>e Praxis</w:t>
      </w:r>
      <w:r>
        <w:t>. Allerdings haben sich die Lebens</w:t>
      </w:r>
      <w:r w:rsidR="0027035D">
        <w:softHyphen/>
      </w:r>
      <w:r w:rsidR="0027035D">
        <w:softHyphen/>
      </w:r>
      <w:r>
        <w:t>erwartungen inzwischen stark erhöht: sie beträgt bei 65-jährigen Männern ca. 90</w:t>
      </w:r>
      <w:r w:rsidR="0027035D">
        <w:t> </w:t>
      </w:r>
      <w:r>
        <w:t xml:space="preserve">Jahre, </w:t>
      </w:r>
      <w:r w:rsidR="003531D2">
        <w:t xml:space="preserve">bei </w:t>
      </w:r>
      <w:r>
        <w:t>65-jährigen Frauen ca. 92 Jahre.</w:t>
      </w:r>
      <w:r w:rsidR="001C7100">
        <w:rPr>
          <w:rStyle w:val="Endnotenzeichen"/>
        </w:rPr>
        <w:endnoteReference w:id="1"/>
      </w:r>
      <w:r>
        <w:t xml:space="preserve"> Da</w:t>
      </w:r>
      <w:r w:rsidR="003531D2">
        <w:t xml:space="preserve"> das Renteneintrittsalter kaum erhöht wurde</w:t>
      </w:r>
      <w:r w:rsidR="0027035D">
        <w:t xml:space="preserve"> – die richtige Müntefering-Reform fängt erst an zu wirken –, </w:t>
      </w:r>
      <w:r>
        <w:t>haben sich die Rentenbezugsdauern von ca. 10 Jahren in 1960 auf knapp 2</w:t>
      </w:r>
      <w:r w:rsidR="003531D2">
        <w:t>0 Jahre in 2015 fast verdoppelt</w:t>
      </w:r>
      <w:r w:rsidR="001C7100">
        <w:rPr>
          <w:rStyle w:val="Endnotenzeichen"/>
        </w:rPr>
        <w:endnoteReference w:id="2"/>
      </w:r>
      <w:r w:rsidR="003531D2">
        <w:t xml:space="preserve">, die Beitragszahlungszeiten aber nicht. </w:t>
      </w:r>
    </w:p>
    <w:p w:rsidR="003531D2" w:rsidRDefault="003531D2" w:rsidP="0094662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</w:p>
    <w:p w:rsidR="00AB3DD0" w:rsidRDefault="003531D2" w:rsidP="00946627">
      <w:pPr>
        <w:pStyle w:val="Listenabsatz"/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  <w:r>
        <w:t>Daher (und verschärft durch sys</w:t>
      </w:r>
      <w:r w:rsidR="002911BB">
        <w:t xml:space="preserve">temwidrige </w:t>
      </w:r>
      <w:r>
        <w:t>politische Entscheidungen wie die "Rente mit 63" oder die "Mütterrente"</w:t>
      </w:r>
      <w:r w:rsidR="003E7D77">
        <w:t>)</w:t>
      </w:r>
      <w:r>
        <w:t xml:space="preserve"> wurde das Verhältnis von Beiträgen zu Renten</w:t>
      </w:r>
      <w:r w:rsidR="00F21834">
        <w:softHyphen/>
      </w:r>
      <w:r>
        <w:t>zahlungen immer schlechter</w:t>
      </w:r>
      <w:r w:rsidR="0027035D">
        <w:t>. E</w:t>
      </w:r>
      <w:r w:rsidR="001C7100">
        <w:t>in immer größerer Teil der Ausgaben wird vom Steuer</w:t>
      </w:r>
      <w:r w:rsidR="001C7100">
        <w:softHyphen/>
        <w:t>zahler finanziert, in 201</w:t>
      </w:r>
      <w:r w:rsidR="009E255B">
        <w:t>9</w:t>
      </w:r>
      <w:r w:rsidR="001C7100">
        <w:t xml:space="preserve"> </w:t>
      </w:r>
      <w:r w:rsidR="009E255B">
        <w:t xml:space="preserve">soll </w:t>
      </w:r>
      <w:r w:rsidR="002911BB">
        <w:t xml:space="preserve">der </w:t>
      </w:r>
      <w:r w:rsidR="00AB3DD0">
        <w:t xml:space="preserve">Zuschuss aus dem Bundeshaushalt </w:t>
      </w:r>
      <w:r w:rsidR="001C7100">
        <w:t>9</w:t>
      </w:r>
      <w:r w:rsidR="009E255B">
        <w:t>8</w:t>
      </w:r>
      <w:r w:rsidR="00AB3DD0">
        <w:t xml:space="preserve"> Mrd. Euro</w:t>
      </w:r>
      <w:r w:rsidR="009E255B">
        <w:t xml:space="preserve"> betragen</w:t>
      </w:r>
      <w:r w:rsidR="001C7100">
        <w:rPr>
          <w:rStyle w:val="Endnotenzeichen"/>
        </w:rPr>
        <w:endnoteReference w:id="3"/>
      </w:r>
      <w:r w:rsidR="001C7100">
        <w:t>, knapp 30%</w:t>
      </w:r>
      <w:r w:rsidR="00AB3DD0">
        <w:t xml:space="preserve"> des </w:t>
      </w:r>
      <w:r w:rsidR="009E255B">
        <w:t>H</w:t>
      </w:r>
      <w:r w:rsidR="00AB3DD0">
        <w:t xml:space="preserve">aushalts. </w:t>
      </w:r>
      <w:r w:rsidR="003E7D77">
        <w:t xml:space="preserve">Die weiteren Pläne für "doppelte Haltelinien" werden den Bundeshaushalt </w:t>
      </w:r>
      <w:r w:rsidR="00735851">
        <w:t xml:space="preserve">zusätzlich </w:t>
      </w:r>
      <w:r w:rsidR="003E7D77">
        <w:t xml:space="preserve">mit </w:t>
      </w:r>
      <w:r w:rsidR="0027035D">
        <w:t xml:space="preserve">ca. </w:t>
      </w:r>
      <w:r w:rsidR="00735851">
        <w:t xml:space="preserve">45 Mrd. Euro in 2030 und </w:t>
      </w:r>
      <w:r w:rsidR="0027035D">
        <w:t xml:space="preserve">ca. </w:t>
      </w:r>
      <w:r w:rsidR="00735851">
        <w:t>80 Mrd. Euro in 2040 belasten.</w:t>
      </w:r>
      <w:r w:rsidR="00735851">
        <w:rPr>
          <w:rStyle w:val="Endnotenzeichen"/>
        </w:rPr>
        <w:endnoteReference w:id="4"/>
      </w:r>
      <w:r w:rsidR="00735851">
        <w:t xml:space="preserve"> Die bisherige Politik, immer größere Lasten der Renten</w:t>
      </w:r>
      <w:r w:rsidR="0027035D">
        <w:softHyphen/>
      </w:r>
      <w:r w:rsidR="00735851">
        <w:t xml:space="preserve">versicherung in den Bundeshaushalt zu verschieben, führt also in die Irre. </w:t>
      </w:r>
    </w:p>
    <w:p w:rsidR="003E7D77" w:rsidRDefault="003E7D77" w:rsidP="00946627">
      <w:pPr>
        <w:pStyle w:val="Listenabsatz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</w:p>
    <w:p w:rsidR="00CA00FD" w:rsidRDefault="00735851" w:rsidP="00946627">
      <w:pPr>
        <w:pStyle w:val="Listenabsatz"/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  <w:r>
        <w:t xml:space="preserve">Einzige Lösung ist, das Renteneintrittsalter proportional zur Lebenserwartung steigen zu lassen. Wenn wir immer länger leben, sollten wir auch länger arbeiten. Arbeitsplätze gibt es genug; die "Rente mit 63" war auch für den Arbeitsmarkt eine Fehlentscheidung. </w:t>
      </w:r>
      <w:r w:rsidR="00AB3DD0">
        <w:t xml:space="preserve">Wenn man das bis 2010 übliche Brutto-Rentenniveau von 55% erhalten will, so dass die Rente 70% des Nettoeinkommens abdeckt, und der Beitragssatz nicht höher als 20% sein soll, bedeutet das ein Verhältnis </w:t>
      </w:r>
      <w:r>
        <w:t xml:space="preserve">von Rentenniveau zu Beitragssatz </w:t>
      </w:r>
      <w:r w:rsidR="00AB3DD0">
        <w:t>von 2,75 : 1. Dann muss auch das Verhältnis von Lebensarbeitszeit zu Rentenbezugszeit 2,75 : 1 sein. Das bedeutet ein Renteneintrittsalter von 72 Jahren</w:t>
      </w:r>
      <w:r>
        <w:t>:</w:t>
      </w:r>
      <w:r w:rsidR="00AB3DD0">
        <w:t xml:space="preserve">  </w:t>
      </w:r>
      <w:r w:rsidRPr="00735851">
        <w:t>Wenn man mit durchschnittlich 22 Jahren mit den Einzahlungen beginnt und durchschnittlich ein Lebensalter von 90 Jahren erreicht, muss man 50 Jahre arbeiten, um 18 Jahre Rente zu beziehen</w:t>
      </w:r>
      <w:r w:rsidR="00F21834">
        <w:t xml:space="preserve"> (50</w:t>
      </w:r>
      <w:r w:rsidRPr="00735851">
        <w:t>:18 = 2,7</w:t>
      </w:r>
      <w:r w:rsidR="009E255B">
        <w:t>8</w:t>
      </w:r>
      <w:r w:rsidRPr="00735851">
        <w:t>).</w:t>
      </w:r>
      <w:r w:rsidR="0027035D">
        <w:t xml:space="preserve"> Das</w:t>
      </w:r>
      <w:r w:rsidRPr="00735851">
        <w:t xml:space="preserve"> </w:t>
      </w:r>
      <w:r w:rsidR="0027035D">
        <w:t>Renteneintrittsalter muss also weiterhin schrittweise erhöht werden.</w:t>
      </w:r>
    </w:p>
    <w:p w:rsidR="009E255B" w:rsidRDefault="009E255B" w:rsidP="0094662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</w:p>
    <w:p w:rsidR="009E255B" w:rsidRDefault="009E255B" w:rsidP="00946627">
      <w:pPr>
        <w:pStyle w:val="Listenabsatz"/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  <w:r>
        <w:t xml:space="preserve">Das Ziel, dass Menschen, die ein Leben lang gearbeitet haben, deutlich mehr Rente beziehen sollen als Menschen, die von Sozialhilfe </w:t>
      </w:r>
      <w:r w:rsidR="0027035D">
        <w:t xml:space="preserve">(ALG II) </w:t>
      </w:r>
      <w:r>
        <w:t>leben, ist richtig. Auch dass Erziehungs</w:t>
      </w:r>
      <w:r w:rsidR="00EF04B1">
        <w:softHyphen/>
      </w:r>
      <w:r>
        <w:t xml:space="preserve">zeiten von Müttern als gesellschaftlich </w:t>
      </w:r>
      <w:r w:rsidR="0027035D">
        <w:t>wichtige</w:t>
      </w:r>
      <w:r>
        <w:t xml:space="preserve"> Leistungen </w:t>
      </w:r>
      <w:r w:rsidR="00185883">
        <w:t>anerkannt</w:t>
      </w:r>
      <w:r>
        <w:t xml:space="preserve"> </w:t>
      </w:r>
      <w:r w:rsidR="0027035D">
        <w:t xml:space="preserve">werden und </w:t>
      </w:r>
      <w:r>
        <w:t>zu höheren Renten führen, ist richtig. Für diese sozialpolitischen Ziele sind Zuschüsse aus dem Bundeshaushalt richtig; aber sie sollen als zusätzliche Beitrags</w:t>
      </w:r>
      <w:r w:rsidR="00F21834">
        <w:softHyphen/>
      </w:r>
      <w:r>
        <w:t xml:space="preserve">zahlungen geleistet werden, um das Prinzip der Rentenversicherung "Die Leistungen entsprechen den </w:t>
      </w:r>
      <w:r w:rsidR="00EF04B1">
        <w:t>B</w:t>
      </w:r>
      <w:r>
        <w:t xml:space="preserve">eiträgen" aufrechtzuerhalten. Bis auf kleinere Ausnahmen sollen alle anderen Bundeszuschüsse zur Rentenversicherung sukzessive auslaufen. </w:t>
      </w:r>
      <w:r w:rsidR="00F21834">
        <w:t xml:space="preserve">Dann wird auch transparent, was </w:t>
      </w:r>
      <w:r w:rsidR="0027035D">
        <w:t xml:space="preserve">die </w:t>
      </w:r>
      <w:r w:rsidR="00F21834">
        <w:t>sozialpolitische</w:t>
      </w:r>
      <w:r w:rsidR="0027035D">
        <w:t>n</w:t>
      </w:r>
      <w:r w:rsidR="00F21834">
        <w:t xml:space="preserve"> Leistungen kosten.</w:t>
      </w:r>
    </w:p>
    <w:p w:rsidR="009E255B" w:rsidRDefault="009E255B" w:rsidP="00946627">
      <w:pPr>
        <w:pStyle w:val="Listenabsatz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</w:p>
    <w:p w:rsidR="00AB3DD0" w:rsidRDefault="00F21834" w:rsidP="00946627">
      <w:pPr>
        <w:pStyle w:val="Listenabsatz"/>
        <w:numPr>
          <w:ilvl w:val="0"/>
          <w:numId w:val="2"/>
        </w:numPr>
        <w:ind w:left="426" w:hanging="426"/>
      </w:pPr>
      <w:r>
        <w:tab/>
      </w:r>
      <w:r w:rsidR="00AB3DD0">
        <w:t xml:space="preserve">Die Definition von Armut kennt zwei Grenzwerte: Die "Armutsrisikoquote" misst den Anteil derjenigen, die über weniger als 60% des Median-Einkommens </w:t>
      </w:r>
      <w:r w:rsidR="00EF04B1">
        <w:t xml:space="preserve">verfügen; das sind für </w:t>
      </w:r>
      <w:r w:rsidR="00AB3DD0">
        <w:t xml:space="preserve">Alleinstehende 1050 Euro monatlich, </w:t>
      </w:r>
      <w:r w:rsidR="00EF04B1">
        <w:t xml:space="preserve">für </w:t>
      </w:r>
      <w:r w:rsidR="00AB3DD0">
        <w:t>Familie</w:t>
      </w:r>
      <w:r w:rsidR="00EF04B1">
        <w:t>n</w:t>
      </w:r>
      <w:r w:rsidR="00AB3DD0">
        <w:t xml:space="preserve"> mit zwei Kindern 2200 Euro</w:t>
      </w:r>
      <w:r w:rsidR="00EF04B1">
        <w:t>,</w:t>
      </w:r>
      <w:r w:rsidR="00EF04B1">
        <w:rPr>
          <w:rStyle w:val="Endnotenzeichen"/>
        </w:rPr>
        <w:endnoteReference w:id="5"/>
      </w:r>
      <w:r w:rsidR="00AB3DD0">
        <w:t xml:space="preserve"> 16% der Haushalte</w:t>
      </w:r>
      <w:r w:rsidR="00EF04B1">
        <w:t xml:space="preserve"> sind davon betroffen</w:t>
      </w:r>
      <w:r w:rsidR="00AB3DD0">
        <w:t>. Als arm gelten diejenigen, die über weniger als 50% des Median-Einkommens verfügen</w:t>
      </w:r>
      <w:r w:rsidR="00EF04B1">
        <w:t xml:space="preserve">, das sind </w:t>
      </w:r>
      <w:r w:rsidR="00AB3DD0">
        <w:t xml:space="preserve">9% der Haushalte. </w:t>
      </w:r>
      <w:r w:rsidR="00EF04B1" w:rsidRPr="00EF04B1">
        <w:t xml:space="preserve">Die Armutsrisikoquote </w:t>
      </w:r>
      <w:r w:rsidR="00EF04B1">
        <w:t xml:space="preserve">in Deutschland </w:t>
      </w:r>
      <w:r w:rsidR="00EF04B1" w:rsidRPr="00EF04B1">
        <w:t>liegt ziemlich genau im EU-Durchschnitt. Nordeuropäische Länder haben etwas geringere, südeuropäische Länder etwas höhere Quoten. Selbst die "reichen" Länder Schweiz und Norwegen haben Quoten von 14% bzw. 12%.</w:t>
      </w:r>
      <w:r w:rsidR="00EF04B1">
        <w:rPr>
          <w:rStyle w:val="Endnotenzeichen"/>
        </w:rPr>
        <w:endnoteReference w:id="6"/>
      </w:r>
      <w:r w:rsidR="00EF04B1" w:rsidRPr="00EF04B1">
        <w:t xml:space="preserve">  </w:t>
      </w:r>
    </w:p>
    <w:p w:rsidR="00AB3DD0" w:rsidRDefault="00AB3DD0" w:rsidP="0094662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</w:p>
    <w:p w:rsidR="00AB3DD0" w:rsidRDefault="00EF04B1" w:rsidP="00946627">
      <w:pPr>
        <w:pStyle w:val="Listenabsatz"/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  <w:r>
        <w:t xml:space="preserve">Die Kosten des Sozialstaates tragen die arbeitenden Bürger. </w:t>
      </w:r>
      <w:r w:rsidR="00AB3DD0">
        <w:t xml:space="preserve">Normalverdiener werden steuerlich stark belastet: Das Durchschnittseinkommen beträgt 33.400 Euro; wer 50% mehr verdient (50.000 Euro), kommt bereits in den Spitzensteuersatz. </w:t>
      </w:r>
      <w:r>
        <w:t>Von einer Lohn</w:t>
      </w:r>
      <w:r w:rsidR="00946627">
        <w:softHyphen/>
      </w:r>
      <w:r>
        <w:t>er</w:t>
      </w:r>
      <w:r w:rsidR="00946627">
        <w:t>h</w:t>
      </w:r>
      <w:r>
        <w:t>öhung von 1000 Euro bleiben dem Durchschnittsverdiener nach Steuern und Abgaben nur 365 Euro.</w:t>
      </w:r>
      <w:r w:rsidR="00AB3DD0">
        <w:t xml:space="preserve"> </w:t>
      </w:r>
      <w:r w:rsidR="00946627">
        <w:t>Das ist bei allen Plänen für zusätzliche Sozialleistungen zu bedenken.</w:t>
      </w:r>
    </w:p>
    <w:p w:rsidR="00946627" w:rsidRDefault="00946627" w:rsidP="00946627">
      <w:pPr>
        <w:pStyle w:val="Listenabsatz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</w:p>
    <w:p w:rsidR="00946627" w:rsidRDefault="00946627" w:rsidP="00946627">
      <w:pPr>
        <w:pStyle w:val="Listenabsatz"/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  <w:r>
        <w:t xml:space="preserve">Wer kein Arbeitseinkommen hat, wird von der Gesellschaft solidarisch unterstützt (Sozialhilfe, jetzt ALG II oder "Hartz IV"). Diese Leistungen sind viel besser als ihr Ruf: </w:t>
      </w:r>
      <w:r w:rsidRPr="00946627">
        <w:t xml:space="preserve">Die durchschnittliche </w:t>
      </w:r>
      <w:r>
        <w:t>ALG-II-</w:t>
      </w:r>
      <w:r w:rsidRPr="00946627">
        <w:t xml:space="preserve">Leistung für Alleinstehende liegt in Städten (wo Wohnungen teurer sind ) bei ca. 800 Euro, über dem BAFöG-Höchstsatz </w:t>
      </w:r>
      <w:r w:rsidR="0027035D">
        <w:t xml:space="preserve">von </w:t>
      </w:r>
      <w:r w:rsidRPr="00946627">
        <w:t>735 Euro. Familien mit zwei Kindern können mit 2000 bis 2300 Euro rechnen.</w:t>
      </w:r>
      <w:r>
        <w:rPr>
          <w:rStyle w:val="Endnotenzeichen"/>
        </w:rPr>
        <w:endnoteReference w:id="7"/>
      </w:r>
      <w:r w:rsidRPr="00946627">
        <w:t xml:space="preserve">   </w:t>
      </w:r>
    </w:p>
    <w:p w:rsidR="00946627" w:rsidRDefault="00946627" w:rsidP="0027035D">
      <w:pPr>
        <w:pStyle w:val="Listenabsatz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firstLine="0"/>
      </w:pPr>
    </w:p>
    <w:p w:rsidR="00F21834" w:rsidRDefault="00F21834" w:rsidP="00946627">
      <w:pPr>
        <w:pStyle w:val="Listenabsatz"/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  <w:r>
        <w:t xml:space="preserve">Dass ALG-II relativ großzügig ist, erkennt man daran, dass in vielen Fällen Menschen mit regulären, aber unterdurchschnittlich bezahlten Jobs (Einzelhandel, Gastronomie, Logistik, Friseure) weniger Nettoeinkommen haben als ALG-II-Empfänger, die nicht arbeiten. Es ist also konsequent und kein  Zeichen einer "unsozialen Gesellschaft", dass Geringverdiener einen Zuschuss bekommen ("Aufstocker"), um über genauso viel Nettoeinkommen zu verfügen als ALG-II-Empfänger. </w:t>
      </w:r>
    </w:p>
    <w:p w:rsidR="00F21834" w:rsidRDefault="00F21834" w:rsidP="00C95825">
      <w:pPr>
        <w:pStyle w:val="Listenabsatz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firstLine="0"/>
      </w:pPr>
    </w:p>
    <w:p w:rsidR="00C95825" w:rsidRDefault="00F21834" w:rsidP="00946627">
      <w:pPr>
        <w:pStyle w:val="Listenabsatz"/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  <w:r>
        <w:t>Verschärft wird das Problem, wenn ALG-II-Empfänger versuchen, (wieder) in den regulären Arbeitsmarkt zu kommen. Nur die ersten 100 Euro bleiben anrechnungsfrei, danach wird das Arbeitseinkommen zu 80% angerechnet, ab 1000 Euro sogar zu 90%, was de-facto-Steuern von 80% bzw. 90% entspricht. Damit ist jedenfalls der finanzielle Anreiz, in den regulären Arbeitsmarkt zu kommen, gering</w:t>
      </w:r>
      <w:r w:rsidR="00C95825">
        <w:t xml:space="preserve">; je nach Fallkonstellation "entkommt" man dem ALG-II-System erst mit Arbeitseinkommen von 2500 Euro. </w:t>
      </w:r>
    </w:p>
    <w:p w:rsidR="00C95825" w:rsidRDefault="00C95825" w:rsidP="00C95825">
      <w:pPr>
        <w:pStyle w:val="Listenabsatz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firstLine="0"/>
      </w:pPr>
    </w:p>
    <w:p w:rsidR="00C95825" w:rsidRDefault="00C95825" w:rsidP="00C95825">
      <w:pPr>
        <w:pStyle w:val="Listenabsatz"/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  <w:r>
        <w:t>Das Ziel, die "Behalte"-Quoten für Arbeitseinkommen von ALG-II-Empfängern zu erhöhen, ist also richtig, wäre aber unfinanzierbar, wenn man die bisherigen Leistungen bei Nicht-Arbeit beibehalten würde; denn dann würde man das ALG-II-System erst mit Arbeitseinkommen von 3000 oder mehr Euro verlassen. Das Ziel höherer "Behalte"-Quoten für Arbeitseinkommen von ALG-II-Empfängern ist also nur möglich, wenn die Leistungen bei Nicht-Arbeit abgesenkt (ggf. durch Sachleistungen ersetzt) werden und so in doppelter Weise der Anreiz zur Aufnahme von Arbeit erhöht wird. Für unbestreit</w:t>
      </w:r>
      <w:r>
        <w:softHyphen/>
        <w:t>bare Problemfälle (</w:t>
      </w:r>
      <w:r w:rsidR="0027035D">
        <w:t xml:space="preserve">z.B. </w:t>
      </w:r>
      <w:r>
        <w:t xml:space="preserve">Alkoholismus, Überschuldung) bleiben gesonderte Regeln geboten. </w:t>
      </w:r>
    </w:p>
    <w:p w:rsidR="00AB3DD0" w:rsidRDefault="00AB3DD0" w:rsidP="0094662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</w:p>
    <w:p w:rsidR="00AB3DD0" w:rsidRDefault="00C95825" w:rsidP="00185883">
      <w:pPr>
        <w:pStyle w:val="Listenabsatz"/>
        <w:numPr>
          <w:ilvl w:val="0"/>
          <w:numId w:val="2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hanging="426"/>
      </w:pPr>
      <w:r>
        <w:lastRenderedPageBreak/>
        <w:t xml:space="preserve">Insgesamt ist Deutschland kein "soziales Problemland". </w:t>
      </w:r>
      <w:r w:rsidR="00185883">
        <w:t>D</w:t>
      </w:r>
      <w:r w:rsidR="00185883" w:rsidRPr="00185883">
        <w:t xml:space="preserve">ie Deutschen </w:t>
      </w:r>
      <w:r w:rsidR="00185883">
        <w:t xml:space="preserve">haben </w:t>
      </w:r>
      <w:r w:rsidR="00185883" w:rsidRPr="00185883">
        <w:t>den dritthöchsten Lebensstandard in Europa</w:t>
      </w:r>
      <w:r w:rsidR="00185883">
        <w:t>.</w:t>
      </w:r>
      <w:r w:rsidR="00185883">
        <w:rPr>
          <w:rStyle w:val="Endnotenzeichen"/>
        </w:rPr>
        <w:endnoteReference w:id="8"/>
      </w:r>
      <w:r w:rsidR="00185883">
        <w:t xml:space="preserve"> </w:t>
      </w:r>
      <w:r w:rsidR="00185883" w:rsidRPr="00185883">
        <w:t>Die Zahl der Beschäftigten – gerade auch der regulären Beschäftigten – hat Höchststände erreicht.</w:t>
      </w:r>
      <w:r w:rsidR="00185883">
        <w:rPr>
          <w:rStyle w:val="Endnotenzeichen"/>
        </w:rPr>
        <w:endnoteReference w:id="9"/>
      </w:r>
      <w:r w:rsidR="00185883" w:rsidRPr="00185883">
        <w:t xml:space="preserve">  </w:t>
      </w:r>
      <w:r w:rsidR="00185883">
        <w:t>D</w:t>
      </w:r>
      <w:r w:rsidR="00185883" w:rsidRPr="00185883">
        <w:t>ie realen Stundenlöhne sind von 1990 bis 2016 um 30% gestiegen.</w:t>
      </w:r>
      <w:r w:rsidR="00185883">
        <w:rPr>
          <w:rStyle w:val="Endnotenzeichen"/>
        </w:rPr>
        <w:endnoteReference w:id="10"/>
      </w:r>
      <w:r w:rsidR="00185883">
        <w:t xml:space="preserve"> </w:t>
      </w:r>
      <w:r w:rsidR="00AB3DD0">
        <w:tab/>
        <w:t>Etwa die Hälfte aller Bürger schafft im Vergleich zu ihren Eltern den Aufstieg in höhere Einkommensklassen.</w:t>
      </w:r>
      <w:r w:rsidR="00185883">
        <w:rPr>
          <w:rStyle w:val="Endnotenzeichen"/>
        </w:rPr>
        <w:endnoteReference w:id="11"/>
      </w:r>
      <w:r w:rsidR="00AB3DD0">
        <w:t xml:space="preserve"> </w:t>
      </w:r>
      <w:r w:rsidR="00185883">
        <w:t xml:space="preserve">Insgesamt sollte also die </w:t>
      </w:r>
      <w:r w:rsidR="0027035D">
        <w:t>P</w:t>
      </w:r>
      <w:r w:rsidR="00185883">
        <w:t>olitik die Dinge nicht schlecht reden, sondern mehr die Steuern und Abgaben zahlenden Bürger ("who work hard and play by the rules" [Bill Clinton]) in den Blick nehmen und sich mit der Zukunft eines weiterhin wettbewerbsfähigen Deutschlands befassen.</w:t>
      </w:r>
    </w:p>
    <w:p w:rsidR="00185883" w:rsidRDefault="00185883" w:rsidP="00185883">
      <w:pPr>
        <w:pStyle w:val="Listenabsatz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426" w:firstLine="0"/>
      </w:pPr>
    </w:p>
    <w:sectPr w:rsidR="00185883" w:rsidSect="00EF04B1">
      <w:endnotePr>
        <w:numFmt w:val="decimal"/>
      </w:endnotePr>
      <w:pgSz w:w="11905" w:h="16837"/>
      <w:pgMar w:top="1417" w:right="141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3A" w:rsidRDefault="00DE793A" w:rsidP="001C7100">
      <w:r>
        <w:separator/>
      </w:r>
    </w:p>
  </w:endnote>
  <w:endnote w:type="continuationSeparator" w:id="0">
    <w:p w:rsidR="00DE793A" w:rsidRDefault="00DE793A" w:rsidP="001C7100">
      <w:r>
        <w:continuationSeparator/>
      </w:r>
    </w:p>
  </w:endnote>
  <w:endnote w:id="1">
    <w:p w:rsidR="001C7100" w:rsidRDefault="001C7100" w:rsidP="00185883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 w:rsidR="00EF04B1">
        <w:tab/>
      </w:r>
      <w:r w:rsidRPr="001C7100">
        <w:t xml:space="preserve">Statistisches Bundesamt, Kohortensterbetafeln 1871-2017 </w:t>
      </w:r>
    </w:p>
  </w:endnote>
  <w:endnote w:id="2">
    <w:p w:rsidR="001C7100" w:rsidRDefault="001C7100" w:rsidP="00185883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 w:rsidR="00EF04B1">
        <w:tab/>
      </w:r>
      <w:r w:rsidRPr="001C7100">
        <w:t>Wir beziehen länger Rente als je zuvor</w:t>
      </w:r>
      <w:r w:rsidR="003E7D77">
        <w:t>, FAZ, 25.7.2016</w:t>
      </w:r>
    </w:p>
  </w:endnote>
  <w:endnote w:id="3">
    <w:p w:rsidR="001C7100" w:rsidRDefault="001C7100" w:rsidP="00185883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 w:rsidR="00EF04B1">
        <w:tab/>
      </w:r>
      <w:r w:rsidR="009E255B" w:rsidRPr="009E255B">
        <w:t>Bald 100 Milliarden Euro Steuerzuschuss für die Rente, FAZ, 14.6.2017</w:t>
      </w:r>
    </w:p>
  </w:endnote>
  <w:endnote w:id="4">
    <w:p w:rsidR="00735851" w:rsidRDefault="00735851" w:rsidP="00185883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 w:rsidR="00EF04B1">
        <w:tab/>
      </w:r>
      <w:r>
        <w:t xml:space="preserve">Axel Börsch-Supan und Johannes Rausch: Die Kosten der doppelten Haltelinie, </w:t>
      </w:r>
      <w:r w:rsidRPr="00735851">
        <w:t>ifo Schnelldienst 9. Mai 2018</w:t>
      </w:r>
    </w:p>
  </w:endnote>
  <w:endnote w:id="5">
    <w:p w:rsidR="00EF04B1" w:rsidRDefault="00EF04B1" w:rsidP="00185883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>
        <w:tab/>
      </w:r>
      <w:r w:rsidRPr="00EF04B1">
        <w:t>Die Vermessung der Mitte, iwd 16.2.2017</w:t>
      </w:r>
    </w:p>
  </w:endnote>
  <w:endnote w:id="6">
    <w:p w:rsidR="00EF04B1" w:rsidRDefault="00EF04B1" w:rsidP="00185883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>
        <w:tab/>
      </w:r>
      <w:r w:rsidRPr="00EF04B1">
        <w:t>Eurostat, Statistiken über die Einkommensverteilung in Europa, http://ec.europa.eu/eurostat/statistics-explained/index.php?title=File:At-risk-of-poverty_rate_and_threshold,_2015_YB17-de.png</w:t>
      </w:r>
    </w:p>
  </w:endnote>
  <w:endnote w:id="7">
    <w:p w:rsidR="00946627" w:rsidRDefault="00946627" w:rsidP="00185883">
      <w:pPr>
        <w:pStyle w:val="Endnotentext"/>
        <w:tabs>
          <w:tab w:val="clear" w:pos="567"/>
        </w:tabs>
        <w:ind w:left="284" w:hanging="284"/>
      </w:pPr>
      <w:r>
        <w:rPr>
          <w:rStyle w:val="Endnotenzeichen"/>
        </w:rPr>
        <w:endnoteRef/>
      </w:r>
      <w:r>
        <w:t xml:space="preserve"> </w:t>
      </w:r>
      <w:r>
        <w:tab/>
      </w:r>
      <w:r w:rsidRPr="00946627">
        <w:t>www.brutto-netto-rechner.info/arbeitslosengeld-2-hartz-4.php; www.bmas.de/DE/Themen/Arbeitsmarkt/</w:t>
      </w:r>
      <w:r>
        <w:t xml:space="preserve"> </w:t>
      </w:r>
      <w:r w:rsidRPr="00946627">
        <w:t>Grundsicherung/Leistungen-zur-Sicherung-des-Lebensunterhalts/2-teaser-artikelseite-arbeitslosengeld-2-sozialgeld.html; http://www.iag-gelsenkirchen.de/site/kosten_unterkunft_heizung/</w:t>
      </w:r>
    </w:p>
  </w:endnote>
  <w:endnote w:id="8">
    <w:p w:rsidR="00185883" w:rsidRPr="00185883" w:rsidRDefault="00185883" w:rsidP="00185883">
      <w:pPr>
        <w:pStyle w:val="Endnotentext"/>
        <w:tabs>
          <w:tab w:val="clear" w:pos="567"/>
        </w:tabs>
        <w:ind w:left="284" w:hanging="284"/>
        <w:rPr>
          <w:lang w:val="en-US"/>
        </w:rPr>
      </w:pPr>
      <w:r>
        <w:rPr>
          <w:rStyle w:val="Endnotenzeichen"/>
        </w:rPr>
        <w:endnoteRef/>
      </w:r>
      <w:r w:rsidRPr="00185883">
        <w:rPr>
          <w:lang w:val="en-US"/>
        </w:rPr>
        <w:t xml:space="preserve"> </w:t>
      </w:r>
      <w:r>
        <w:rPr>
          <w:lang w:val="en-US"/>
        </w:rPr>
        <w:tab/>
      </w:r>
      <w:r w:rsidRPr="00185883">
        <w:rPr>
          <w:lang w:val="en-US"/>
        </w:rPr>
        <w:t>https://www.glassdoor.com/ research/studies/europe-best-standard-of-living/</w:t>
      </w:r>
    </w:p>
  </w:endnote>
  <w:endnote w:id="9">
    <w:p w:rsidR="00185883" w:rsidRDefault="00185883" w:rsidP="00185883">
      <w:pPr>
        <w:pStyle w:val="Endnotentext"/>
        <w:ind w:left="284" w:hanging="284"/>
      </w:pPr>
      <w:r>
        <w:rPr>
          <w:rStyle w:val="Endnotenzeichen"/>
        </w:rPr>
        <w:endnoteRef/>
      </w:r>
      <w:r>
        <w:t xml:space="preserve"> </w:t>
      </w:r>
      <w:r>
        <w:tab/>
      </w:r>
      <w:r w:rsidRPr="00185883">
        <w:t>Arbeitsagentur, Beschäftigung - Die aktuellen Entwicklungen in Kürze - Juli 2018</w:t>
      </w:r>
    </w:p>
  </w:endnote>
  <w:endnote w:id="10">
    <w:p w:rsidR="00185883" w:rsidRDefault="00185883" w:rsidP="00185883">
      <w:pPr>
        <w:pStyle w:val="Endnotentext"/>
        <w:ind w:left="284" w:hanging="284"/>
      </w:pPr>
      <w:r>
        <w:rPr>
          <w:rStyle w:val="Endnotenzeichen"/>
        </w:rPr>
        <w:endnoteRef/>
      </w:r>
      <w:r>
        <w:t xml:space="preserve"> </w:t>
      </w:r>
      <w:r>
        <w:tab/>
      </w:r>
      <w:r w:rsidRPr="00185883">
        <w:t>Hartmut Görgens, "Irrtum und Wahrheit über die Reallohnentwicklung seit 1990", Marburg 2018, S. 13</w:t>
      </w:r>
    </w:p>
  </w:endnote>
  <w:endnote w:id="11">
    <w:p w:rsidR="00185883" w:rsidRDefault="00185883">
      <w:pPr>
        <w:pStyle w:val="Endnotentext"/>
      </w:pPr>
      <w:r>
        <w:rPr>
          <w:rStyle w:val="Endnotenzeichen"/>
        </w:rPr>
        <w:endnoteRef/>
      </w:r>
      <w:r>
        <w:t xml:space="preserve"> </w:t>
      </w:r>
      <w:r>
        <w:tab/>
      </w:r>
      <w:r w:rsidRPr="00185883">
        <w:t>Hans-Böckler-Stiftung, Böckler-Impuls 16/2016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3A" w:rsidRDefault="00DE793A" w:rsidP="001C7100">
      <w:r>
        <w:separator/>
      </w:r>
    </w:p>
  </w:footnote>
  <w:footnote w:type="continuationSeparator" w:id="0">
    <w:p w:rsidR="00DE793A" w:rsidRDefault="00DE793A" w:rsidP="001C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55DDC"/>
    <w:multiLevelType w:val="hybridMultilevel"/>
    <w:tmpl w:val="1E7E0C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D3A0D"/>
    <w:multiLevelType w:val="hybridMultilevel"/>
    <w:tmpl w:val="7F8EE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D0"/>
    <w:rsid w:val="00041F5F"/>
    <w:rsid w:val="00121A42"/>
    <w:rsid w:val="00185883"/>
    <w:rsid w:val="001C7100"/>
    <w:rsid w:val="0027035D"/>
    <w:rsid w:val="002911BB"/>
    <w:rsid w:val="002969D6"/>
    <w:rsid w:val="003531D2"/>
    <w:rsid w:val="003E7D77"/>
    <w:rsid w:val="004B3A14"/>
    <w:rsid w:val="004E7626"/>
    <w:rsid w:val="005A1BD0"/>
    <w:rsid w:val="00735851"/>
    <w:rsid w:val="00894123"/>
    <w:rsid w:val="008969C8"/>
    <w:rsid w:val="008C324C"/>
    <w:rsid w:val="00946627"/>
    <w:rsid w:val="00992B3A"/>
    <w:rsid w:val="009E255B"/>
    <w:rsid w:val="00AB3DD0"/>
    <w:rsid w:val="00AC3002"/>
    <w:rsid w:val="00BE2C66"/>
    <w:rsid w:val="00BF5712"/>
    <w:rsid w:val="00C057F7"/>
    <w:rsid w:val="00C95825"/>
    <w:rsid w:val="00DE793A"/>
    <w:rsid w:val="00E17347"/>
    <w:rsid w:val="00EF04B1"/>
    <w:rsid w:val="00EF1B81"/>
    <w:rsid w:val="00F21834"/>
    <w:rsid w:val="00F5053D"/>
    <w:rsid w:val="00F6095E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57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7347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1C710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C710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C71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57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7347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1C710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C710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C71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6C895-02BA-4345-A689-ADB028CB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Kosmider</dc:creator>
  <cp:lastModifiedBy>Hans-Peter Kosmider</cp:lastModifiedBy>
  <cp:revision>4</cp:revision>
  <dcterms:created xsi:type="dcterms:W3CDTF">2019-03-03T12:37:00Z</dcterms:created>
  <dcterms:modified xsi:type="dcterms:W3CDTF">2019-03-03T12:38:00Z</dcterms:modified>
</cp:coreProperties>
</file>