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DF85" w14:textId="30B1FEBE" w:rsidR="004F6966" w:rsidRDefault="00333B23" w:rsidP="00333B23">
      <w:pPr>
        <w:jc w:val="center"/>
        <w:rPr>
          <w:rFonts w:ascii="Engravers MT" w:hAnsi="Engravers MT"/>
          <w:b/>
          <w:bCs/>
          <w:color w:val="0070C0"/>
          <w:sz w:val="28"/>
          <w:szCs w:val="28"/>
        </w:rPr>
      </w:pPr>
      <w:r>
        <w:rPr>
          <w:rFonts w:ascii="Engravers MT" w:hAnsi="Engravers MT"/>
          <w:b/>
          <w:bCs/>
          <w:color w:val="0070C0"/>
          <w:sz w:val="28"/>
          <w:szCs w:val="28"/>
        </w:rPr>
        <w:t xml:space="preserve">LES </w:t>
      </w:r>
      <w:r w:rsidR="00D668D5" w:rsidRPr="006435D1">
        <w:rPr>
          <w:rFonts w:ascii="Engravers MT" w:hAnsi="Engravers MT"/>
          <w:b/>
          <w:bCs/>
          <w:color w:val="0070C0"/>
          <w:sz w:val="28"/>
          <w:szCs w:val="28"/>
        </w:rPr>
        <w:t>ATELIER</w:t>
      </w:r>
      <w:r>
        <w:rPr>
          <w:rFonts w:ascii="Engravers MT" w:hAnsi="Engravers MT"/>
          <w:b/>
          <w:bCs/>
          <w:color w:val="0070C0"/>
          <w:sz w:val="28"/>
          <w:szCs w:val="28"/>
        </w:rPr>
        <w:t>S</w:t>
      </w:r>
      <w:r w:rsidR="00D668D5" w:rsidRPr="006435D1">
        <w:rPr>
          <w:rFonts w:ascii="Engravers MT" w:hAnsi="Engravers MT"/>
          <w:b/>
          <w:bCs/>
          <w:color w:val="0070C0"/>
          <w:sz w:val="28"/>
          <w:szCs w:val="28"/>
        </w:rPr>
        <w:t xml:space="preserve"> DE LA PENSEE JOUEUSE</w:t>
      </w:r>
    </w:p>
    <w:p w14:paraId="0A01CA5A" w14:textId="701910E9" w:rsidR="00333B23" w:rsidRDefault="00CA3280" w:rsidP="00D668D5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E113ECA" wp14:editId="047E4DB2">
            <wp:simplePos x="0" y="0"/>
            <wp:positionH relativeFrom="column">
              <wp:posOffset>4977130</wp:posOffset>
            </wp:positionH>
            <wp:positionV relativeFrom="paragraph">
              <wp:posOffset>135255</wp:posOffset>
            </wp:positionV>
            <wp:extent cx="762000" cy="757555"/>
            <wp:effectExtent l="0" t="0" r="0" b="0"/>
            <wp:wrapNone/>
            <wp:docPr id="2" name="Image 2" descr="Les ateliers de la pensée joueus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teliers de la pensée joueuse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0" r="12414"/>
                    <a:stretch/>
                  </pic:blipFill>
                  <pic:spPr bwMode="auto">
                    <a:xfrm>
                      <a:off x="0" y="0"/>
                      <a:ext cx="762000" cy="75755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5D1" w:rsidRPr="006435D1">
        <w:rPr>
          <w:rFonts w:ascii="Times New Roman" w:hAnsi="Times New Roman" w:cs="Times New Roman"/>
          <w:color w:val="0070C0"/>
          <w:sz w:val="16"/>
          <w:szCs w:val="16"/>
        </w:rPr>
        <w:t>Sous la direction du ministère de la Fédération Wallon</w:t>
      </w:r>
      <w:r w:rsidR="00333B23">
        <w:rPr>
          <w:rFonts w:ascii="Times New Roman" w:hAnsi="Times New Roman" w:cs="Times New Roman"/>
          <w:color w:val="0070C0"/>
          <w:sz w:val="16"/>
          <w:szCs w:val="16"/>
        </w:rPr>
        <w:t>ie</w:t>
      </w:r>
      <w:r w:rsidR="006435D1" w:rsidRPr="006435D1">
        <w:rPr>
          <w:rFonts w:ascii="Times New Roman" w:hAnsi="Times New Roman" w:cs="Times New Roman"/>
          <w:color w:val="0070C0"/>
          <w:sz w:val="16"/>
          <w:szCs w:val="16"/>
        </w:rPr>
        <w:t xml:space="preserve"> B</w:t>
      </w:r>
      <w:r w:rsidR="00333B23">
        <w:rPr>
          <w:rFonts w:ascii="Times New Roman" w:hAnsi="Times New Roman" w:cs="Times New Roman"/>
          <w:color w:val="0070C0"/>
          <w:sz w:val="16"/>
          <w:szCs w:val="16"/>
        </w:rPr>
        <w:t>ruxelles</w:t>
      </w:r>
      <w:r w:rsidR="006435D1" w:rsidRPr="006435D1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14:paraId="4B097F5A" w14:textId="67E5A5DD" w:rsidR="006435D1" w:rsidRPr="006435D1" w:rsidRDefault="00333B23" w:rsidP="00D668D5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noProof/>
        </w:rPr>
        <w:drawing>
          <wp:inline distT="0" distB="0" distL="0" distR="0" wp14:anchorId="29DA02CC" wp14:editId="7FB80488">
            <wp:extent cx="1085850" cy="207569"/>
            <wp:effectExtent l="0" t="0" r="0" b="0"/>
            <wp:docPr id="4" name="Image 4" descr="Communiqué de presse Les Rencontres « Jeu t'aime » : le rend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uniqué de presse Les Rencontres « Jeu t'aime » : le rende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84" cy="2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2"/>
        <w:gridCol w:w="7616"/>
      </w:tblGrid>
      <w:tr w:rsidR="00333B23" w14:paraId="2CA1A583" w14:textId="77777777" w:rsidTr="00333B23">
        <w:tc>
          <w:tcPr>
            <w:tcW w:w="1640" w:type="dxa"/>
          </w:tcPr>
          <w:p w14:paraId="0721B042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4497DFF4" w14:textId="6DEF0F0F" w:rsidR="00D668D5" w:rsidRPr="00333B23" w:rsidRDefault="00D668D5" w:rsidP="00D668D5">
            <w:pPr>
              <w:jc w:val="center"/>
              <w:rPr>
                <w:b/>
                <w:bCs/>
                <w:color w:val="0070C0"/>
              </w:rPr>
            </w:pPr>
            <w:r w:rsidRPr="00333B23">
              <w:rPr>
                <w:b/>
                <w:bCs/>
                <w:color w:val="0070C0"/>
              </w:rPr>
              <w:t>Objectif poursuivis</w:t>
            </w:r>
          </w:p>
        </w:tc>
        <w:tc>
          <w:tcPr>
            <w:tcW w:w="7648" w:type="dxa"/>
          </w:tcPr>
          <w:p w14:paraId="54578AD3" w14:textId="1FFC5303" w:rsidR="00D668D5" w:rsidRDefault="00D668D5" w:rsidP="00D668D5">
            <w:pPr>
              <w:jc w:val="both"/>
            </w:pPr>
            <w:r>
              <w:t>Favoriser l’intériorisation des règles du vivre ensemble</w:t>
            </w:r>
          </w:p>
          <w:p w14:paraId="0D8426BD" w14:textId="0916B8C0" w:rsidR="00D668D5" w:rsidRDefault="00D668D5" w:rsidP="00D668D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Renforcer la capacité d’empathie et le sens moral</w:t>
            </w:r>
          </w:p>
          <w:p w14:paraId="0B0F1B3F" w14:textId="0924334A" w:rsidR="00D668D5" w:rsidRDefault="00D668D5" w:rsidP="00D668D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Travail sur les émotions</w:t>
            </w:r>
          </w:p>
          <w:p w14:paraId="11776671" w14:textId="1D64EA0E" w:rsidR="00D668D5" w:rsidRDefault="00D668D5" w:rsidP="00D668D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Prévenir la violence et les risques de radicalisation par une approche non stigmatisante</w:t>
            </w:r>
          </w:p>
        </w:tc>
      </w:tr>
      <w:tr w:rsidR="00333B23" w14:paraId="75B2186D" w14:textId="77777777" w:rsidTr="00333B23">
        <w:tc>
          <w:tcPr>
            <w:tcW w:w="1640" w:type="dxa"/>
          </w:tcPr>
          <w:p w14:paraId="14FDC05E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0149BE70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50576FBA" w14:textId="051B77FA" w:rsidR="00D668D5" w:rsidRPr="00333B23" w:rsidRDefault="00D668D5" w:rsidP="00333B23">
            <w:pPr>
              <w:jc w:val="center"/>
              <w:rPr>
                <w:b/>
                <w:bCs/>
                <w:color w:val="0070C0"/>
              </w:rPr>
            </w:pPr>
            <w:r w:rsidRPr="00333B23">
              <w:rPr>
                <w:b/>
                <w:bCs/>
                <w:color w:val="0070C0"/>
              </w:rPr>
              <w:t>Objectifs de l’éducation à la philosophie et à la citoyenneté</w:t>
            </w:r>
          </w:p>
        </w:tc>
        <w:tc>
          <w:tcPr>
            <w:tcW w:w="7648" w:type="dxa"/>
          </w:tcPr>
          <w:p w14:paraId="4473B4A3" w14:textId="500DCF50" w:rsidR="00D668D5" w:rsidRDefault="00D668D5" w:rsidP="00D668D5">
            <w:pPr>
              <w:jc w:val="both"/>
            </w:pPr>
            <w:r>
              <w:t>La pensée joueuse vise essentiellement à développer :</w:t>
            </w:r>
          </w:p>
          <w:p w14:paraId="7CF84546" w14:textId="79367D9F" w:rsidR="00D668D5" w:rsidRDefault="00D668D5" w:rsidP="00D668D5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Une pensée autonome et critique par le jeu et l’imaginaire comme support pour interroger le monde</w:t>
            </w:r>
          </w:p>
          <w:p w14:paraId="08A10963" w14:textId="5F284F9B" w:rsidR="00D668D5" w:rsidRDefault="00D668D5" w:rsidP="00D668D5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Une connaissance de soi-même et de l’autre par l’expérimentation dans des postures différentes scénarisées et débattues dans l‘après coup</w:t>
            </w:r>
          </w:p>
          <w:p w14:paraId="4C7967C1" w14:textId="3FD371A0" w:rsidR="00D668D5" w:rsidRDefault="00D668D5" w:rsidP="00D668D5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Une citoyenneté dans l’égalité en droits et en dignité par l’expérience d’un moment démocratiquement investi et construit par les enfants dans un cadre sécurisant</w:t>
            </w:r>
          </w:p>
          <w:p w14:paraId="456603F1" w14:textId="3828B669" w:rsidR="00D668D5" w:rsidRDefault="00F87B80" w:rsidP="00D668D5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Un engagement dans la vie sociale et l’espace démocratique en étant sollicité à prendre part aux différentes étapes de la construction d’une intelligence collective et aux prises de décision en commun</w:t>
            </w:r>
          </w:p>
        </w:tc>
      </w:tr>
      <w:tr w:rsidR="00333B23" w14:paraId="04439EBA" w14:textId="77777777" w:rsidTr="00333B23">
        <w:tc>
          <w:tcPr>
            <w:tcW w:w="1640" w:type="dxa"/>
          </w:tcPr>
          <w:p w14:paraId="6F340901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4C6012AB" w14:textId="01748C39" w:rsidR="00D668D5" w:rsidRPr="00333B23" w:rsidRDefault="00D668D5" w:rsidP="00D668D5">
            <w:pPr>
              <w:jc w:val="center"/>
              <w:rPr>
                <w:b/>
                <w:bCs/>
                <w:color w:val="0070C0"/>
              </w:rPr>
            </w:pPr>
            <w:r w:rsidRPr="00333B23">
              <w:rPr>
                <w:b/>
                <w:bCs/>
                <w:color w:val="0070C0"/>
              </w:rPr>
              <w:t>Cible d’</w:t>
            </w:r>
            <w:r w:rsidR="00F87B80" w:rsidRPr="00333B23">
              <w:rPr>
                <w:b/>
                <w:bCs/>
                <w:color w:val="0070C0"/>
              </w:rPr>
              <w:t>apprentissage</w:t>
            </w:r>
          </w:p>
        </w:tc>
        <w:tc>
          <w:tcPr>
            <w:tcW w:w="7648" w:type="dxa"/>
          </w:tcPr>
          <w:p w14:paraId="7A1EDEC3" w14:textId="4D1BEE78" w:rsidR="00F87B80" w:rsidRDefault="00F87B80" w:rsidP="00F87B80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Apprentissage</w:t>
            </w:r>
            <w:r>
              <w:t xml:space="preserve"> du faire-semblant qui est aussi une initiation au virtuel</w:t>
            </w:r>
            <w:r>
              <w:t xml:space="preserve"> </w:t>
            </w:r>
          </w:p>
          <w:p w14:paraId="12326BCE" w14:textId="1652DA52" w:rsidR="00F87B80" w:rsidRDefault="00F87B80" w:rsidP="00F87B80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Apprentissage</w:t>
            </w:r>
            <w:r>
              <w:t xml:space="preserve"> de l’empathie </w:t>
            </w:r>
          </w:p>
          <w:p w14:paraId="1CB91ABE" w14:textId="17311553" w:rsidR="00D668D5" w:rsidRDefault="00F87B80" w:rsidP="00F87B80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Apprentissage</w:t>
            </w:r>
            <w:r>
              <w:t xml:space="preserve"> du débat démocratique qui ouvre à la parole et à l’écoute de chacun dans une position égale et collaborative</w:t>
            </w:r>
          </w:p>
        </w:tc>
      </w:tr>
      <w:tr w:rsidR="00333B23" w14:paraId="6CB844B5" w14:textId="77777777" w:rsidTr="00333B23">
        <w:tc>
          <w:tcPr>
            <w:tcW w:w="1640" w:type="dxa"/>
          </w:tcPr>
          <w:p w14:paraId="509486F9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56717240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78532F55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35AEF317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750C395D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653D8596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5BD0DDED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570D52FA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55B3645F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4F309862" w14:textId="77777777" w:rsidR="00333B23" w:rsidRPr="00333B23" w:rsidRDefault="00333B23" w:rsidP="00D668D5">
            <w:pPr>
              <w:jc w:val="center"/>
              <w:rPr>
                <w:b/>
                <w:bCs/>
                <w:color w:val="0070C0"/>
              </w:rPr>
            </w:pPr>
          </w:p>
          <w:p w14:paraId="312D05C9" w14:textId="5E1E65B4" w:rsidR="00D668D5" w:rsidRPr="00333B23" w:rsidRDefault="00D668D5" w:rsidP="00D668D5">
            <w:pPr>
              <w:jc w:val="center"/>
              <w:rPr>
                <w:b/>
                <w:bCs/>
                <w:color w:val="0070C0"/>
              </w:rPr>
            </w:pPr>
            <w:r w:rsidRPr="00333B23">
              <w:rPr>
                <w:b/>
                <w:bCs/>
                <w:color w:val="0070C0"/>
              </w:rPr>
              <w:t>Descriptif de l’atelier</w:t>
            </w:r>
          </w:p>
        </w:tc>
        <w:tc>
          <w:tcPr>
            <w:tcW w:w="7648" w:type="dxa"/>
          </w:tcPr>
          <w:p w14:paraId="1A17E3B6" w14:textId="46340C03" w:rsidR="00D668D5" w:rsidRPr="00A17E4A" w:rsidRDefault="00F842AB" w:rsidP="00F87B80">
            <w:pPr>
              <w:jc w:val="both"/>
              <w:rPr>
                <w:b/>
                <w:bCs/>
              </w:rPr>
            </w:pPr>
            <w:r w:rsidRPr="00A17E4A">
              <w:rPr>
                <w:b/>
                <w:bCs/>
              </w:rPr>
              <w:t>J</w:t>
            </w:r>
            <w:r w:rsidR="00F87B80" w:rsidRPr="00A17E4A">
              <w:rPr>
                <w:b/>
                <w:bCs/>
              </w:rPr>
              <w:t>eu théâtr</w:t>
            </w:r>
            <w:r w:rsidRPr="00A17E4A">
              <w:rPr>
                <w:b/>
                <w:bCs/>
              </w:rPr>
              <w:t>al</w:t>
            </w:r>
            <w:r w:rsidR="00333B23">
              <w:rPr>
                <w:b/>
                <w:bCs/>
              </w:rPr>
              <w:t xml:space="preserve"> (50 minutes)</w:t>
            </w:r>
          </w:p>
          <w:p w14:paraId="1C3F3602" w14:textId="18A6F9BA" w:rsidR="006435D1" w:rsidRPr="00A17E4A" w:rsidRDefault="006435D1" w:rsidP="006435D1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A17E4A">
              <w:t>Les enfants choisissent collectivement un dessin</w:t>
            </w:r>
          </w:p>
          <w:p w14:paraId="07E2B599" w14:textId="77777777" w:rsidR="006435D1" w:rsidRDefault="006435D1" w:rsidP="006435D1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 xml:space="preserve">A partir du dessin choisi, chaque enfant imagine une histoire </w:t>
            </w:r>
          </w:p>
          <w:p w14:paraId="7A16F0C7" w14:textId="77777777" w:rsidR="006435D1" w:rsidRDefault="006435D1" w:rsidP="006435D1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 xml:space="preserve">3 à 5 enfants volontaires racontent leur histoire </w:t>
            </w:r>
          </w:p>
          <w:p w14:paraId="6D290773" w14:textId="27382C7F" w:rsidR="00F87B80" w:rsidRDefault="006435D1" w:rsidP="00AA5440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A partir de toutes les histoires imaginaires,</w:t>
            </w:r>
            <w:r w:rsidR="00AA5440">
              <w:t xml:space="preserve"> </w:t>
            </w:r>
            <w:r>
              <w:t xml:space="preserve">une nouvelle histoire </w:t>
            </w:r>
            <w:r w:rsidR="00AA5440">
              <w:t xml:space="preserve">est construite et imaginés </w:t>
            </w:r>
            <w:r>
              <w:t>tous ensemble</w:t>
            </w:r>
            <w:r w:rsidR="00AA5440">
              <w:t xml:space="preserve"> à partir </w:t>
            </w:r>
            <w:r w:rsidR="00C269A7">
              <w:t>d’un scénario simple en 4/5 actions. Trois figures sont identifiées : un agresseur, une victime et un redresseur de torts. Les rôles sont bien typés, dramatisés, voire exagérés afin d’aider le jeu.</w:t>
            </w:r>
          </w:p>
          <w:p w14:paraId="29E421D9" w14:textId="77777777" w:rsidR="00C269A7" w:rsidRDefault="00C269A7" w:rsidP="00F87B80">
            <w:pPr>
              <w:jc w:val="both"/>
            </w:pPr>
          </w:p>
          <w:p w14:paraId="200D3666" w14:textId="53A63F3F" w:rsidR="00C269A7" w:rsidRPr="00A17E4A" w:rsidRDefault="00C269A7" w:rsidP="00F87B80">
            <w:pPr>
              <w:jc w:val="both"/>
              <w:rPr>
                <w:b/>
                <w:bCs/>
              </w:rPr>
            </w:pPr>
            <w:r w:rsidRPr="00A17E4A">
              <w:rPr>
                <w:b/>
                <w:bCs/>
              </w:rPr>
              <w:t xml:space="preserve">Atelier </w:t>
            </w:r>
            <w:r w:rsidR="00AA5440" w:rsidRPr="00A17E4A">
              <w:rPr>
                <w:b/>
                <w:bCs/>
              </w:rPr>
              <w:t>de la pensée</w:t>
            </w:r>
            <w:r w:rsidR="00333B23">
              <w:rPr>
                <w:b/>
                <w:bCs/>
              </w:rPr>
              <w:t xml:space="preserve"> (10/20 minutes)</w:t>
            </w:r>
          </w:p>
          <w:p w14:paraId="4917F6AD" w14:textId="20451596" w:rsidR="00A17E4A" w:rsidRDefault="00A17E4A" w:rsidP="00A17E4A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Des questions</w:t>
            </w:r>
            <w:r>
              <w:t xml:space="preserve"> sont déterminées</w:t>
            </w:r>
            <w:r>
              <w:t xml:space="preserve"> à partir de la scène jouée</w:t>
            </w:r>
            <w:r>
              <w:t xml:space="preserve">. </w:t>
            </w:r>
            <w:r>
              <w:t xml:space="preserve">Les enfants </w:t>
            </w:r>
            <w:r>
              <w:t xml:space="preserve">élaborent </w:t>
            </w:r>
            <w:r>
              <w:t>librement et accueill</w:t>
            </w:r>
            <w:r>
              <w:t>ent</w:t>
            </w:r>
            <w:r>
              <w:t xml:space="preserve"> toute proposition relevant de la dynamique du groupe, des thèmes/ingrédients de l’histoire, des émotions en jeu… </w:t>
            </w:r>
          </w:p>
          <w:p w14:paraId="13676318" w14:textId="005158DA" w:rsidR="00374F88" w:rsidRDefault="00A17E4A" w:rsidP="00A17E4A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Une</w:t>
            </w:r>
            <w:r>
              <w:t xml:space="preserve"> question </w:t>
            </w:r>
            <w:r>
              <w:t xml:space="preserve">est choisie pour la </w:t>
            </w:r>
            <w:r>
              <w:t>discussion philosophique</w:t>
            </w:r>
            <w:r w:rsidR="00374F88">
              <w:t>.</w:t>
            </w:r>
            <w:r>
              <w:t xml:space="preserve"> </w:t>
            </w:r>
          </w:p>
          <w:p w14:paraId="5D3B92C5" w14:textId="4E0A72F0" w:rsidR="00F842AB" w:rsidRDefault="00A17E4A" w:rsidP="00F87B80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L’animateur soutient la visée philosophique de la discussion à l’aide de leviers tels que : Questionner pour faire émerger les causes, les conséquences,</w:t>
            </w:r>
            <w:r w:rsidR="00374F88">
              <w:t xml:space="preserve"> r</w:t>
            </w:r>
            <w:r>
              <w:t xml:space="preserve">eformuler pour préciser l’idée principale, </w:t>
            </w:r>
            <w:r w:rsidR="00374F88">
              <w:t>p</w:t>
            </w:r>
            <w:r>
              <w:t>rivilégier les formules qui font le lien entre les interventions</w:t>
            </w:r>
            <w:r w:rsidR="00374F88">
              <w:t>, s</w:t>
            </w:r>
            <w:r>
              <w:t>outenir le cheminement de l’expression des avis individuels vers une pensée collective en généralisant</w:t>
            </w:r>
            <w:r w:rsidR="00374F88">
              <w:t>, d</w:t>
            </w:r>
            <w:r>
              <w:t>épasser les présupposés, les idées moralisantes en interrogeant les conséquences.</w:t>
            </w:r>
          </w:p>
          <w:p w14:paraId="2743BD0C" w14:textId="6F36B010" w:rsidR="00F842AB" w:rsidRDefault="00F842AB" w:rsidP="00F87B80">
            <w:pPr>
              <w:jc w:val="both"/>
            </w:pPr>
          </w:p>
        </w:tc>
      </w:tr>
    </w:tbl>
    <w:p w14:paraId="0529C360" w14:textId="1DA84FE1" w:rsidR="00D668D5" w:rsidRDefault="00D668D5" w:rsidP="00D668D5">
      <w:pPr>
        <w:jc w:val="center"/>
      </w:pPr>
    </w:p>
    <w:sectPr w:rsidR="00D6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E22"/>
    <w:multiLevelType w:val="hybridMultilevel"/>
    <w:tmpl w:val="4E988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6371"/>
    <w:multiLevelType w:val="hybridMultilevel"/>
    <w:tmpl w:val="FC64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023B"/>
    <w:multiLevelType w:val="hybridMultilevel"/>
    <w:tmpl w:val="2FBC9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425"/>
    <w:multiLevelType w:val="hybridMultilevel"/>
    <w:tmpl w:val="EE945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627A9"/>
    <w:multiLevelType w:val="hybridMultilevel"/>
    <w:tmpl w:val="818C7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28C1"/>
    <w:rsid w:val="00333B23"/>
    <w:rsid w:val="003400D9"/>
    <w:rsid w:val="00374F88"/>
    <w:rsid w:val="00593D4A"/>
    <w:rsid w:val="006435D1"/>
    <w:rsid w:val="008128C1"/>
    <w:rsid w:val="00A17E4A"/>
    <w:rsid w:val="00AA5440"/>
    <w:rsid w:val="00AF119A"/>
    <w:rsid w:val="00C269A7"/>
    <w:rsid w:val="00CA3280"/>
    <w:rsid w:val="00D668D5"/>
    <w:rsid w:val="00F842AB"/>
    <w:rsid w:val="00F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DAA8"/>
  <w15:chartTrackingRefBased/>
  <w15:docId w15:val="{8881DBE5-48C4-4308-B541-E2CAEC0D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SIMONOT Jean-Marc</dc:creator>
  <cp:keywords/>
  <dc:description/>
  <cp:lastModifiedBy>SIMONOT Jean-Marc</cp:lastModifiedBy>
  <cp:revision>2</cp:revision>
  <dcterms:created xsi:type="dcterms:W3CDTF">2020-06-06T12:17:00Z</dcterms:created>
  <dcterms:modified xsi:type="dcterms:W3CDTF">2020-06-06T14:01:00Z</dcterms:modified>
</cp:coreProperties>
</file>