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44BAF" w14:textId="77777777" w:rsidR="002D7F45" w:rsidRDefault="002D7F45" w:rsidP="002D7F45">
      <w:pPr>
        <w:rPr>
          <w:sz w:val="24"/>
          <w:szCs w:val="24"/>
        </w:rPr>
      </w:pPr>
      <w:bookmarkStart w:id="0" w:name="_Hlk174527286"/>
      <w:r>
        <w:rPr>
          <w:noProof/>
          <w:sz w:val="24"/>
          <w:szCs w:val="24"/>
        </w:rPr>
        <w:drawing>
          <wp:anchor distT="0" distB="0" distL="114300" distR="114300" simplePos="0" relativeHeight="251658240" behindDoc="0" locked="0" layoutInCell="1" allowOverlap="1" wp14:anchorId="6AA5B4AA" wp14:editId="3A4893A2">
            <wp:simplePos x="0" y="0"/>
            <wp:positionH relativeFrom="column">
              <wp:posOffset>67945</wp:posOffset>
            </wp:positionH>
            <wp:positionV relativeFrom="paragraph">
              <wp:posOffset>22225</wp:posOffset>
            </wp:positionV>
            <wp:extent cx="914400" cy="914400"/>
            <wp:effectExtent l="0" t="0" r="0" b="0"/>
            <wp:wrapSquare wrapText="bothSides"/>
            <wp:docPr id="1819800073" name="Grafik 3" descr="Waage der Justitia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800073" name="Grafik 1819800073" descr="Waage der Justitia Silhouette"/>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anchor>
        </w:drawing>
      </w:r>
      <w:r w:rsidRPr="002D7F45">
        <w:rPr>
          <w:sz w:val="24"/>
          <w:szCs w:val="24"/>
        </w:rPr>
        <w:t xml:space="preserve">Mit der Reform des </w:t>
      </w:r>
      <w:proofErr w:type="spellStart"/>
      <w:r w:rsidRPr="002D7F45">
        <w:rPr>
          <w:sz w:val="24"/>
          <w:szCs w:val="24"/>
        </w:rPr>
        <w:t>FamFG</w:t>
      </w:r>
      <w:proofErr w:type="spellEnd"/>
      <w:r w:rsidRPr="002D7F45">
        <w:rPr>
          <w:sz w:val="24"/>
          <w:szCs w:val="24"/>
        </w:rPr>
        <w:t xml:space="preserve"> (§163) </w:t>
      </w:r>
    </w:p>
    <w:p w14:paraId="12A15771" w14:textId="3AF4A540" w:rsidR="002D7F45" w:rsidRPr="002D7F45" w:rsidRDefault="002D7F45" w:rsidP="002D7F45">
      <w:pPr>
        <w:rPr>
          <w:sz w:val="24"/>
          <w:szCs w:val="24"/>
        </w:rPr>
      </w:pPr>
      <w:r w:rsidRPr="002D7F45">
        <w:rPr>
          <w:sz w:val="24"/>
          <w:szCs w:val="24"/>
        </w:rPr>
        <w:t xml:space="preserve">und den Empfehlungen der Arbeitsgruppe „Familienrechtliche Gutachten“ in der zweiten Auflage von 2019 wurden Mindestanforderungen formuliert, die Gutachter in familien- und </w:t>
      </w:r>
      <w:proofErr w:type="spellStart"/>
      <w:r w:rsidRPr="002D7F45">
        <w:rPr>
          <w:sz w:val="24"/>
          <w:szCs w:val="24"/>
        </w:rPr>
        <w:t>kindschaftsrechtlichen</w:t>
      </w:r>
      <w:proofErr w:type="spellEnd"/>
      <w:r w:rsidRPr="002D7F45">
        <w:rPr>
          <w:sz w:val="24"/>
          <w:szCs w:val="24"/>
        </w:rPr>
        <w:t xml:space="preserve"> Verfahren erfüllen sollten. Diese Anforderungen legen fest, welche staatlich anerkannten Studienabschlüsse und Zusatzqualifikationen erforderlich sind.</w:t>
      </w:r>
    </w:p>
    <w:p w14:paraId="52A43FB3" w14:textId="446472DE" w:rsidR="002D7F45" w:rsidRPr="002D7F45" w:rsidRDefault="002D7F45" w:rsidP="002D7F45">
      <w:pPr>
        <w:rPr>
          <w:sz w:val="24"/>
          <w:szCs w:val="24"/>
        </w:rPr>
      </w:pPr>
    </w:p>
    <w:p w14:paraId="022C91F8" w14:textId="77777777" w:rsidR="002D7F45" w:rsidRPr="002D7F45" w:rsidRDefault="002D7F45" w:rsidP="002D7F45">
      <w:pPr>
        <w:rPr>
          <w:sz w:val="24"/>
          <w:szCs w:val="24"/>
        </w:rPr>
      </w:pPr>
      <w:r w:rsidRPr="002D7F45">
        <w:rPr>
          <w:sz w:val="24"/>
          <w:szCs w:val="24"/>
        </w:rPr>
        <w:t>Gutachter müssen in der Lage sein, komplexe Beweisbeschlüsse inhaltlich zu verstehen und zu vermitteln. Dazu gehört auch, dass sie sich mit der rechtlichen Denkweise des Auftraggebers (des Familienrichters) vertraut machen können. Kenntnisse der einschlägigen materiellen und verfahrensrechtlichen Gesetze sowie der höchstrichterlichen Rechtsprechung sind unerlässlich. Der Gutachter wird nach Ermessen des Familienrichters für den jeweiligen Fall ausgewählt und bestellt, um Beweise zu ermitteln und Empfehlungen in einem Gutachten vorzulegen.</w:t>
      </w:r>
    </w:p>
    <w:p w14:paraId="02E885B4" w14:textId="77777777" w:rsidR="002D7F45" w:rsidRPr="002D7F45" w:rsidRDefault="002D7F45" w:rsidP="002D7F45">
      <w:pPr>
        <w:rPr>
          <w:sz w:val="24"/>
          <w:szCs w:val="24"/>
        </w:rPr>
      </w:pPr>
    </w:p>
    <w:p w14:paraId="2D5DFD1F" w14:textId="77777777" w:rsidR="002D7F45" w:rsidRPr="002D7F45" w:rsidRDefault="002D7F45" w:rsidP="002D7F45">
      <w:pPr>
        <w:rPr>
          <w:sz w:val="24"/>
          <w:szCs w:val="24"/>
        </w:rPr>
      </w:pPr>
      <w:r w:rsidRPr="002D7F45">
        <w:rPr>
          <w:sz w:val="24"/>
          <w:szCs w:val="24"/>
        </w:rPr>
        <w:t xml:space="preserve">Im </w:t>
      </w:r>
      <w:proofErr w:type="spellStart"/>
      <w:r w:rsidRPr="002D7F45">
        <w:rPr>
          <w:sz w:val="24"/>
          <w:szCs w:val="24"/>
        </w:rPr>
        <w:t>FamFG</w:t>
      </w:r>
      <w:proofErr w:type="spellEnd"/>
      <w:r w:rsidRPr="002D7F45">
        <w:rPr>
          <w:sz w:val="24"/>
          <w:szCs w:val="24"/>
        </w:rPr>
        <w:t xml:space="preserve"> § 7 wird zwischen formell und sonstigen Beteiligten unterschieden. Sonstige Beteiligte sind Personen, die im Zuge der Amtsermittlung des Gerichts angehört werden, um Klärungen zu ermöglichen. Sie sind nicht direkt am Verfahren beteiligt, sondern unterstützen die Beweisaufnahme. Gutachter zählen zu diesen Personen.</w:t>
      </w:r>
    </w:p>
    <w:p w14:paraId="09C4579E" w14:textId="77777777" w:rsidR="002D7F45" w:rsidRPr="002D7F45" w:rsidRDefault="002D7F45" w:rsidP="002D7F45">
      <w:pPr>
        <w:rPr>
          <w:sz w:val="24"/>
          <w:szCs w:val="24"/>
        </w:rPr>
      </w:pPr>
    </w:p>
    <w:p w14:paraId="4C61ED90" w14:textId="77777777" w:rsidR="002D7F45" w:rsidRPr="002D7F45" w:rsidRDefault="002D7F45" w:rsidP="002D7F45">
      <w:pPr>
        <w:rPr>
          <w:sz w:val="24"/>
          <w:szCs w:val="24"/>
        </w:rPr>
      </w:pPr>
      <w:r w:rsidRPr="002D7F45">
        <w:rPr>
          <w:sz w:val="24"/>
          <w:szCs w:val="24"/>
        </w:rPr>
        <w:t xml:space="preserve">Formell Beteiligte sind laut §7 </w:t>
      </w:r>
      <w:proofErr w:type="spellStart"/>
      <w:r w:rsidRPr="002D7F45">
        <w:rPr>
          <w:sz w:val="24"/>
          <w:szCs w:val="24"/>
        </w:rPr>
        <w:t>FamFG</w:t>
      </w:r>
      <w:proofErr w:type="spellEnd"/>
      <w:r w:rsidRPr="002D7F45">
        <w:rPr>
          <w:sz w:val="24"/>
          <w:szCs w:val="24"/>
        </w:rPr>
        <w:t xml:space="preserve"> immer das betroffene Kind, dessen Verfahrensbeistand, die gesetzlichen Vertreter (Vormund oder Ergänzungspfleger), in der Regel die rechtlichen Eltern, unter Umständen auch die biologischen Eltern, eventuell Pflegeeltern und in Kinderschutzverfahren immer das Jugendamt. Das formell beteiligte Kind ist der wichtigste Mensch im Verfahren, und alle anderen Beteiligten sollten sich stets an dessen Bedürfnissen orientieren.</w:t>
      </w:r>
    </w:p>
    <w:p w14:paraId="63E38ABF" w14:textId="77777777" w:rsidR="002D7F45" w:rsidRPr="002D7F45" w:rsidRDefault="002D7F45" w:rsidP="002D7F45">
      <w:pPr>
        <w:rPr>
          <w:sz w:val="24"/>
          <w:szCs w:val="24"/>
        </w:rPr>
      </w:pPr>
      <w:r w:rsidRPr="002D7F45">
        <w:rPr>
          <w:sz w:val="24"/>
          <w:szCs w:val="24"/>
        </w:rPr>
        <w:t xml:space="preserve">Es gibt ein afrikanisches Sprichwort: </w:t>
      </w:r>
    </w:p>
    <w:p w14:paraId="2B4EAEA2" w14:textId="77777777" w:rsidR="002D7F45" w:rsidRPr="002D7F45" w:rsidRDefault="002D7F45" w:rsidP="002D7F45">
      <w:pPr>
        <w:rPr>
          <w:sz w:val="24"/>
          <w:szCs w:val="24"/>
        </w:rPr>
      </w:pPr>
      <w:r w:rsidRPr="002D7F45">
        <w:rPr>
          <w:sz w:val="24"/>
          <w:szCs w:val="24"/>
        </w:rPr>
        <w:t xml:space="preserve">“Es braucht ein ganzes Dorf, um ein Kind zu erziehen.“ </w:t>
      </w:r>
    </w:p>
    <w:p w14:paraId="048E5040" w14:textId="77777777" w:rsidR="002D7F45" w:rsidRPr="002D7F45" w:rsidRDefault="002D7F45" w:rsidP="002D7F45">
      <w:pPr>
        <w:rPr>
          <w:sz w:val="24"/>
          <w:szCs w:val="24"/>
        </w:rPr>
      </w:pPr>
      <w:r w:rsidRPr="002D7F45">
        <w:rPr>
          <w:sz w:val="24"/>
          <w:szCs w:val="24"/>
        </w:rPr>
        <w:t>Wir alle haben die Verantwortung, dafür zu sorgen, dass unsere Kinder gesund und glücklich aufwachsen und gestärkt in die Welt hinausgehen können. Da es jedoch Krisen und Veränderungen im Leben gibt, die wir unseren Kindern nicht ersparen können, hat der Gesetzgeber unterstützende Regelungen zum Schutz von Kindern und zur Gestaltung von Familien geschaffen.</w:t>
      </w:r>
    </w:p>
    <w:p w14:paraId="4C71A364" w14:textId="77777777" w:rsidR="002D7F45" w:rsidRDefault="002D7F45">
      <w:pPr>
        <w:rPr>
          <w:b/>
          <w:bCs/>
          <w:sz w:val="28"/>
          <w:szCs w:val="28"/>
        </w:rPr>
      </w:pPr>
    </w:p>
    <w:p w14:paraId="1C67801A" w14:textId="77777777" w:rsidR="002D7F45" w:rsidRDefault="002D7F45">
      <w:pPr>
        <w:rPr>
          <w:b/>
          <w:bCs/>
          <w:sz w:val="28"/>
          <w:szCs w:val="28"/>
        </w:rPr>
      </w:pPr>
    </w:p>
    <w:p w14:paraId="1FC40DCD" w14:textId="77777777" w:rsidR="002D7F45" w:rsidRDefault="002D7F45">
      <w:pPr>
        <w:rPr>
          <w:b/>
          <w:bCs/>
          <w:sz w:val="28"/>
          <w:szCs w:val="28"/>
        </w:rPr>
      </w:pPr>
    </w:p>
    <w:p w14:paraId="5182205B" w14:textId="77777777" w:rsidR="002D7F45" w:rsidRDefault="002D7F45">
      <w:pPr>
        <w:rPr>
          <w:b/>
          <w:bCs/>
          <w:sz w:val="28"/>
          <w:szCs w:val="28"/>
        </w:rPr>
      </w:pPr>
    </w:p>
    <w:p w14:paraId="3C2AD51E" w14:textId="77777777" w:rsidR="002D7F45" w:rsidRDefault="002D7F45">
      <w:pPr>
        <w:rPr>
          <w:b/>
          <w:bCs/>
          <w:sz w:val="28"/>
          <w:szCs w:val="28"/>
        </w:rPr>
      </w:pPr>
    </w:p>
    <w:p w14:paraId="0FB4C9D2" w14:textId="7D80402C" w:rsidR="00035A3A" w:rsidRDefault="002D7F45">
      <w:pPr>
        <w:rPr>
          <w:b/>
          <w:bCs/>
          <w:sz w:val="28"/>
          <w:szCs w:val="28"/>
        </w:rPr>
      </w:pPr>
      <w:r>
        <w:rPr>
          <w:b/>
          <w:bCs/>
          <w:noProof/>
          <w:sz w:val="28"/>
          <w:szCs w:val="28"/>
        </w:rPr>
        <w:drawing>
          <wp:anchor distT="0" distB="0" distL="114300" distR="114300" simplePos="0" relativeHeight="251658240" behindDoc="1" locked="0" layoutInCell="1" allowOverlap="1" wp14:anchorId="1A62061C" wp14:editId="0618DE2E">
            <wp:simplePos x="0" y="0"/>
            <wp:positionH relativeFrom="column">
              <wp:posOffset>-635</wp:posOffset>
            </wp:positionH>
            <wp:positionV relativeFrom="paragraph">
              <wp:posOffset>0</wp:posOffset>
            </wp:positionV>
            <wp:extent cx="914400" cy="914400"/>
            <wp:effectExtent l="0" t="0" r="0" b="0"/>
            <wp:wrapTight wrapText="bothSides">
              <wp:wrapPolygon edited="0">
                <wp:start x="11250" y="900"/>
                <wp:lineTo x="4050" y="9000"/>
                <wp:lineTo x="4050" y="12150"/>
                <wp:lineTo x="11250" y="16200"/>
                <wp:lineTo x="4050" y="16200"/>
                <wp:lineTo x="900" y="16650"/>
                <wp:lineTo x="900" y="20250"/>
                <wp:lineTo x="11250" y="20250"/>
                <wp:lineTo x="12150" y="19350"/>
                <wp:lineTo x="20250" y="16650"/>
                <wp:lineTo x="20700" y="16200"/>
                <wp:lineTo x="14400" y="9000"/>
                <wp:lineTo x="17550" y="8550"/>
                <wp:lineTo x="17550" y="6300"/>
                <wp:lineTo x="13500" y="900"/>
                <wp:lineTo x="11250" y="900"/>
              </wp:wrapPolygon>
            </wp:wrapTight>
            <wp:docPr id="1539860759" name="Grafik 1" descr="Auktionshamme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860759" name="Grafik 1539860759" descr="Auktionshammer Silhouette"/>
                    <pic:cNvPicPr/>
                  </pic:nvPicPr>
                  <pic:blipFill>
                    <a:blip r:embed="rId9">
                      <a:extLs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anchor>
        </w:drawing>
      </w:r>
    </w:p>
    <w:p w14:paraId="3FD6E8F6" w14:textId="3E9532AC" w:rsidR="00035A3A" w:rsidRDefault="002D7F45" w:rsidP="002D7F45">
      <w:pPr>
        <w:ind w:left="1416"/>
        <w:rPr>
          <w:sz w:val="28"/>
          <w:szCs w:val="28"/>
        </w:rPr>
      </w:pPr>
      <w:r>
        <w:rPr>
          <w:sz w:val="28"/>
          <w:szCs w:val="28"/>
        </w:rPr>
        <w:t xml:space="preserve">  </w:t>
      </w:r>
      <w:r w:rsidR="00E4343B" w:rsidRPr="00035A3A">
        <w:rPr>
          <w:sz w:val="28"/>
          <w:szCs w:val="28"/>
        </w:rPr>
        <w:t>Bitte bedenken Sie, dass sich die GutachterInnen</w:t>
      </w:r>
      <w:r w:rsidR="00E4343B" w:rsidRPr="00035A3A">
        <w:rPr>
          <w:b/>
          <w:bCs/>
          <w:sz w:val="28"/>
          <w:szCs w:val="28"/>
        </w:rPr>
        <w:t xml:space="preserve"> bei der</w:t>
      </w:r>
      <w:r>
        <w:rPr>
          <w:b/>
          <w:bCs/>
          <w:sz w:val="28"/>
          <w:szCs w:val="28"/>
        </w:rPr>
        <w:t xml:space="preserve"> </w:t>
      </w:r>
      <w:r w:rsidR="00E4343B" w:rsidRPr="00035A3A">
        <w:rPr>
          <w:b/>
          <w:bCs/>
          <w:sz w:val="28"/>
          <w:szCs w:val="28"/>
        </w:rPr>
        <w:t xml:space="preserve">Terminabsprache nicht schon mit Anliegen befassen </w:t>
      </w:r>
      <w:r>
        <w:rPr>
          <w:b/>
          <w:bCs/>
          <w:sz w:val="28"/>
          <w:szCs w:val="28"/>
        </w:rPr>
        <w:t xml:space="preserve">  </w:t>
      </w:r>
      <w:r w:rsidR="00E4343B" w:rsidRPr="00035A3A">
        <w:rPr>
          <w:b/>
          <w:bCs/>
          <w:sz w:val="28"/>
          <w:szCs w:val="28"/>
        </w:rPr>
        <w:t>dürfen, die den eigentlichen Rechtsstreit betreffen</w:t>
      </w:r>
      <w:r w:rsidR="00E4343B" w:rsidRPr="00035A3A">
        <w:rPr>
          <w:sz w:val="28"/>
          <w:szCs w:val="28"/>
        </w:rPr>
        <w:t xml:space="preserve">. </w:t>
      </w:r>
    </w:p>
    <w:p w14:paraId="6E61FEF8" w14:textId="32B3EF3F" w:rsidR="00847997" w:rsidRDefault="00E4343B">
      <w:pPr>
        <w:rPr>
          <w:sz w:val="28"/>
          <w:szCs w:val="28"/>
        </w:rPr>
      </w:pPr>
      <w:r w:rsidRPr="00035A3A">
        <w:rPr>
          <w:sz w:val="28"/>
          <w:szCs w:val="28"/>
        </w:rPr>
        <w:t xml:space="preserve">Jeder vorweggenommene inhaltliche Diskurs mit Ihnen und jede Antwort auf das Verlangen einer Partei, was wir tun oder lassen sollen, würde unsere </w:t>
      </w:r>
      <w:r w:rsidRPr="00035A3A">
        <w:rPr>
          <w:b/>
          <w:bCs/>
          <w:sz w:val="28"/>
          <w:szCs w:val="28"/>
        </w:rPr>
        <w:t>Neutralität gefährden</w:t>
      </w:r>
      <w:r w:rsidR="00035A3A">
        <w:rPr>
          <w:sz w:val="28"/>
          <w:szCs w:val="28"/>
        </w:rPr>
        <w:t>.</w:t>
      </w:r>
    </w:p>
    <w:p w14:paraId="3AE7C2E7" w14:textId="77777777" w:rsidR="00035A3A" w:rsidRPr="00035A3A" w:rsidRDefault="00035A3A">
      <w:pPr>
        <w:rPr>
          <w:sz w:val="28"/>
          <w:szCs w:val="28"/>
        </w:rPr>
      </w:pPr>
    </w:p>
    <w:p w14:paraId="532ED69F" w14:textId="59F91985" w:rsidR="00E4343B" w:rsidRDefault="00E4343B" w:rsidP="00035A3A">
      <w:pPr>
        <w:pStyle w:val="Listenabsatz"/>
        <w:numPr>
          <w:ilvl w:val="0"/>
          <w:numId w:val="3"/>
        </w:numPr>
        <w:rPr>
          <w:sz w:val="28"/>
          <w:szCs w:val="28"/>
        </w:rPr>
      </w:pPr>
      <w:r w:rsidRPr="00035A3A">
        <w:rPr>
          <w:b/>
          <w:bCs/>
          <w:sz w:val="28"/>
          <w:szCs w:val="28"/>
        </w:rPr>
        <w:t>Am Beginn des ersten Gesprächs</w:t>
      </w:r>
      <w:r w:rsidRPr="00035A3A">
        <w:rPr>
          <w:sz w:val="28"/>
          <w:szCs w:val="28"/>
        </w:rPr>
        <w:t xml:space="preserve"> erfolgt eine umfangreiche Belehrung zu Ihren Rechten und zum Datenschutz sowie Erläuterung des weiteren Vorgehens</w:t>
      </w:r>
      <w:r w:rsidR="00035A3A">
        <w:rPr>
          <w:sz w:val="28"/>
          <w:szCs w:val="28"/>
        </w:rPr>
        <w:t>.</w:t>
      </w:r>
    </w:p>
    <w:p w14:paraId="07281409" w14:textId="77777777" w:rsidR="00035A3A" w:rsidRPr="00035A3A" w:rsidRDefault="00035A3A" w:rsidP="00035A3A">
      <w:pPr>
        <w:pStyle w:val="Listenabsatz"/>
        <w:rPr>
          <w:sz w:val="28"/>
          <w:szCs w:val="28"/>
        </w:rPr>
      </w:pPr>
    </w:p>
    <w:p w14:paraId="10B99B1E" w14:textId="66D74408" w:rsidR="00035A3A" w:rsidRPr="00035A3A" w:rsidRDefault="00E4343B" w:rsidP="00035A3A">
      <w:pPr>
        <w:pStyle w:val="Listenabsatz"/>
        <w:numPr>
          <w:ilvl w:val="0"/>
          <w:numId w:val="3"/>
        </w:numPr>
        <w:rPr>
          <w:sz w:val="28"/>
          <w:szCs w:val="28"/>
        </w:rPr>
      </w:pPr>
      <w:r w:rsidRPr="00035A3A">
        <w:rPr>
          <w:b/>
          <w:bCs/>
          <w:sz w:val="28"/>
          <w:szCs w:val="28"/>
        </w:rPr>
        <w:t>In familienrechtlichen Begutachtungen</w:t>
      </w:r>
      <w:r w:rsidRPr="00035A3A">
        <w:rPr>
          <w:sz w:val="28"/>
          <w:szCs w:val="28"/>
        </w:rPr>
        <w:t xml:space="preserve"> vereinbaren wir immer zunächst </w:t>
      </w:r>
      <w:r w:rsidRPr="00035A3A">
        <w:rPr>
          <w:b/>
          <w:bCs/>
          <w:sz w:val="28"/>
          <w:szCs w:val="28"/>
        </w:rPr>
        <w:t xml:space="preserve">Termine mit den Eltern </w:t>
      </w:r>
      <w:r w:rsidR="00035A3A" w:rsidRPr="00035A3A">
        <w:rPr>
          <w:b/>
          <w:bCs/>
          <w:sz w:val="28"/>
          <w:szCs w:val="28"/>
        </w:rPr>
        <w:t>allein</w:t>
      </w:r>
      <w:r w:rsidRPr="00035A3A">
        <w:rPr>
          <w:sz w:val="28"/>
          <w:szCs w:val="28"/>
        </w:rPr>
        <w:t>, bevor wir die Kinder kennenlernen.</w:t>
      </w:r>
    </w:p>
    <w:p w14:paraId="2481557E" w14:textId="77777777" w:rsidR="00035A3A" w:rsidRPr="00035A3A" w:rsidRDefault="00035A3A" w:rsidP="00035A3A">
      <w:pPr>
        <w:pStyle w:val="Listenabsatz"/>
        <w:rPr>
          <w:sz w:val="28"/>
          <w:szCs w:val="28"/>
        </w:rPr>
      </w:pPr>
    </w:p>
    <w:p w14:paraId="2B5A7A00" w14:textId="77777777" w:rsidR="00035A3A" w:rsidRDefault="00E4343B" w:rsidP="00035A3A">
      <w:pPr>
        <w:pStyle w:val="Listenabsatz"/>
        <w:numPr>
          <w:ilvl w:val="0"/>
          <w:numId w:val="3"/>
        </w:numPr>
        <w:rPr>
          <w:sz w:val="28"/>
          <w:szCs w:val="28"/>
        </w:rPr>
      </w:pPr>
      <w:r w:rsidRPr="00035A3A">
        <w:rPr>
          <w:sz w:val="28"/>
          <w:szCs w:val="28"/>
        </w:rPr>
        <w:t xml:space="preserve">Ob und ggf. welche </w:t>
      </w:r>
      <w:r w:rsidRPr="00035A3A">
        <w:rPr>
          <w:b/>
          <w:bCs/>
          <w:sz w:val="28"/>
          <w:szCs w:val="28"/>
        </w:rPr>
        <w:t>Testverfahren</w:t>
      </w:r>
      <w:r w:rsidRPr="00035A3A">
        <w:rPr>
          <w:sz w:val="28"/>
          <w:szCs w:val="28"/>
        </w:rPr>
        <w:t xml:space="preserve"> zum Einsatz kommen, hängt von der gerichtlichen Fragestellung, von Präferenzen der Sachverständigen und vom Alter des betroffenen Kindes ab. </w:t>
      </w:r>
    </w:p>
    <w:p w14:paraId="1D3DC735" w14:textId="77777777" w:rsidR="00035A3A" w:rsidRPr="00035A3A" w:rsidRDefault="00035A3A" w:rsidP="00035A3A">
      <w:pPr>
        <w:pStyle w:val="Listenabsatz"/>
        <w:rPr>
          <w:sz w:val="28"/>
          <w:szCs w:val="28"/>
        </w:rPr>
      </w:pPr>
    </w:p>
    <w:p w14:paraId="1B708CF1" w14:textId="49072386" w:rsidR="00E4343B" w:rsidRDefault="00E4343B" w:rsidP="00035A3A">
      <w:pPr>
        <w:pStyle w:val="Listenabsatz"/>
        <w:numPr>
          <w:ilvl w:val="0"/>
          <w:numId w:val="3"/>
        </w:numPr>
        <w:rPr>
          <w:sz w:val="28"/>
          <w:szCs w:val="28"/>
        </w:rPr>
      </w:pPr>
      <w:r w:rsidRPr="00035A3A">
        <w:rPr>
          <w:b/>
          <w:bCs/>
          <w:sz w:val="28"/>
          <w:szCs w:val="28"/>
        </w:rPr>
        <w:t>Grundsätzlich</w:t>
      </w:r>
      <w:r w:rsidRPr="00035A3A">
        <w:rPr>
          <w:sz w:val="28"/>
          <w:szCs w:val="28"/>
        </w:rPr>
        <w:t xml:space="preserve"> ist auch ein Zusammentreffen des Kindes / der Kinder mit dem </w:t>
      </w:r>
      <w:r w:rsidR="00035A3A" w:rsidRPr="00035A3A">
        <w:rPr>
          <w:b/>
          <w:bCs/>
          <w:sz w:val="28"/>
          <w:szCs w:val="28"/>
        </w:rPr>
        <w:t>getrenntlebenden</w:t>
      </w:r>
      <w:r w:rsidRPr="00035A3A">
        <w:rPr>
          <w:b/>
          <w:bCs/>
          <w:sz w:val="28"/>
          <w:szCs w:val="28"/>
        </w:rPr>
        <w:t xml:space="preserve"> Elternteil</w:t>
      </w:r>
      <w:r w:rsidRPr="00035A3A">
        <w:rPr>
          <w:sz w:val="28"/>
          <w:szCs w:val="28"/>
        </w:rPr>
        <w:t xml:space="preserve"> vorgesehen</w:t>
      </w:r>
      <w:r w:rsidR="00035A3A" w:rsidRPr="00035A3A">
        <w:rPr>
          <w:sz w:val="28"/>
          <w:szCs w:val="28"/>
        </w:rPr>
        <w:t>.</w:t>
      </w:r>
    </w:p>
    <w:p w14:paraId="48FEF2B2" w14:textId="77777777" w:rsidR="00035A3A" w:rsidRPr="00035A3A" w:rsidRDefault="00035A3A" w:rsidP="00035A3A">
      <w:pPr>
        <w:pStyle w:val="Listenabsatz"/>
        <w:rPr>
          <w:sz w:val="28"/>
          <w:szCs w:val="28"/>
        </w:rPr>
      </w:pPr>
    </w:p>
    <w:p w14:paraId="10A29A1D" w14:textId="77777777" w:rsidR="00035A3A" w:rsidRPr="00035A3A" w:rsidRDefault="00035A3A" w:rsidP="00035A3A">
      <w:pPr>
        <w:pStyle w:val="Listenabsatz"/>
        <w:rPr>
          <w:sz w:val="28"/>
          <w:szCs w:val="28"/>
        </w:rPr>
      </w:pPr>
    </w:p>
    <w:p w14:paraId="556C4A78" w14:textId="49A499E1" w:rsidR="00E4343B" w:rsidRPr="00035A3A" w:rsidRDefault="00035A3A" w:rsidP="00035A3A">
      <w:pPr>
        <w:pStyle w:val="Listenabsatz"/>
        <w:numPr>
          <w:ilvl w:val="0"/>
          <w:numId w:val="3"/>
        </w:numPr>
        <w:rPr>
          <w:sz w:val="28"/>
          <w:szCs w:val="28"/>
        </w:rPr>
      </w:pPr>
      <w:r w:rsidRPr="00035A3A">
        <w:rPr>
          <w:sz w:val="28"/>
          <w:szCs w:val="28"/>
        </w:rPr>
        <w:t>Mein Arbeitsgebiet</w:t>
      </w:r>
      <w:r w:rsidR="00E4343B" w:rsidRPr="00035A3A">
        <w:rPr>
          <w:sz w:val="28"/>
          <w:szCs w:val="28"/>
        </w:rPr>
        <w:t xml:space="preserve"> umfasst Begutachtungen, die Fachkunde in der Kinder- und Jugendpsychiatrie, Psychologie und Psychotherapie des Kindes- und Jugendalters erfordern.</w:t>
      </w:r>
      <w:r w:rsidRPr="00035A3A">
        <w:rPr>
          <w:b/>
          <w:bCs/>
          <w:sz w:val="28"/>
          <w:szCs w:val="28"/>
        </w:rPr>
        <w:t xml:space="preserve"> </w:t>
      </w:r>
      <w:r w:rsidR="00E4343B" w:rsidRPr="00035A3A">
        <w:rPr>
          <w:b/>
          <w:bCs/>
          <w:sz w:val="28"/>
          <w:szCs w:val="28"/>
        </w:rPr>
        <w:t>Familienrechtsgutachten</w:t>
      </w:r>
    </w:p>
    <w:p w14:paraId="0839E1A4" w14:textId="3042C502" w:rsidR="00E4343B" w:rsidRPr="00035A3A" w:rsidRDefault="00035A3A" w:rsidP="00035A3A">
      <w:pPr>
        <w:numPr>
          <w:ilvl w:val="1"/>
          <w:numId w:val="3"/>
        </w:numPr>
        <w:rPr>
          <w:sz w:val="28"/>
          <w:szCs w:val="28"/>
        </w:rPr>
      </w:pPr>
      <w:r>
        <w:rPr>
          <w:sz w:val="28"/>
          <w:szCs w:val="28"/>
        </w:rPr>
        <w:t>(</w:t>
      </w:r>
      <w:r w:rsidR="00E4343B" w:rsidRPr="00035A3A">
        <w:rPr>
          <w:sz w:val="28"/>
          <w:szCs w:val="28"/>
        </w:rPr>
        <w:t>Trennungs- und Scheidungsfolgen</w:t>
      </w:r>
      <w:r>
        <w:rPr>
          <w:sz w:val="28"/>
          <w:szCs w:val="28"/>
        </w:rPr>
        <w:t>,</w:t>
      </w:r>
      <w:r w:rsidR="00E4343B" w:rsidRPr="00035A3A">
        <w:rPr>
          <w:sz w:val="28"/>
          <w:szCs w:val="28"/>
        </w:rPr>
        <w:t xml:space="preserve"> elterliche Sorge,</w:t>
      </w:r>
      <w:r w:rsidR="00E4343B" w:rsidRPr="00035A3A">
        <w:rPr>
          <w:sz w:val="28"/>
          <w:szCs w:val="28"/>
        </w:rPr>
        <w:br/>
        <w:t>Umgang, Aufenthalt u.a.)</w:t>
      </w:r>
    </w:p>
    <w:p w14:paraId="50F98510" w14:textId="3307F3CB" w:rsidR="00E4343B" w:rsidRPr="00035A3A" w:rsidRDefault="00E4343B" w:rsidP="00035A3A">
      <w:pPr>
        <w:pStyle w:val="Listenabsatz"/>
        <w:numPr>
          <w:ilvl w:val="0"/>
          <w:numId w:val="3"/>
        </w:numPr>
        <w:rPr>
          <w:sz w:val="28"/>
          <w:szCs w:val="28"/>
        </w:rPr>
      </w:pPr>
      <w:r w:rsidRPr="00035A3A">
        <w:rPr>
          <w:sz w:val="28"/>
          <w:szCs w:val="28"/>
        </w:rPr>
        <w:t xml:space="preserve">Gutachten und Expertisen </w:t>
      </w:r>
      <w:r w:rsidRPr="00035A3A">
        <w:rPr>
          <w:b/>
          <w:bCs/>
          <w:sz w:val="28"/>
          <w:szCs w:val="28"/>
        </w:rPr>
        <w:t>werden nur im amtlichen Auftrag</w:t>
      </w:r>
      <w:r w:rsidRPr="00035A3A">
        <w:rPr>
          <w:sz w:val="28"/>
          <w:szCs w:val="28"/>
        </w:rPr>
        <w:t>, nicht im Auftrag streitender Parteien erstellt.</w:t>
      </w:r>
      <w:bookmarkEnd w:id="0"/>
    </w:p>
    <w:sectPr w:rsidR="00E4343B" w:rsidRPr="00035A3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A8149" w14:textId="77777777" w:rsidR="002D7F45" w:rsidRDefault="002D7F45" w:rsidP="002D7F45">
      <w:pPr>
        <w:spacing w:after="0" w:line="240" w:lineRule="auto"/>
      </w:pPr>
      <w:r>
        <w:separator/>
      </w:r>
    </w:p>
  </w:endnote>
  <w:endnote w:type="continuationSeparator" w:id="0">
    <w:p w14:paraId="3543F712" w14:textId="77777777" w:rsidR="002D7F45" w:rsidRDefault="002D7F45" w:rsidP="002D7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9EEBB" w14:textId="77777777" w:rsidR="002D7F45" w:rsidRDefault="002D7F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6FB0E" w14:textId="77777777" w:rsidR="002D7F45" w:rsidRDefault="002D7F4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BE64C" w14:textId="77777777" w:rsidR="002D7F45" w:rsidRDefault="002D7F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6DBB6" w14:textId="77777777" w:rsidR="002D7F45" w:rsidRDefault="002D7F45" w:rsidP="002D7F45">
      <w:pPr>
        <w:spacing w:after="0" w:line="240" w:lineRule="auto"/>
      </w:pPr>
      <w:r>
        <w:separator/>
      </w:r>
    </w:p>
  </w:footnote>
  <w:footnote w:type="continuationSeparator" w:id="0">
    <w:p w14:paraId="16598B41" w14:textId="77777777" w:rsidR="002D7F45" w:rsidRDefault="002D7F45" w:rsidP="002D7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C6F7C" w14:textId="77777777" w:rsidR="002D7F45" w:rsidRDefault="002D7F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8397E" w14:textId="48CE0BD6" w:rsidR="002D7F45" w:rsidRDefault="002D7F45">
    <w:pPr>
      <w:pStyle w:val="Kopfzeile"/>
    </w:pPr>
    <w:r>
      <w:tab/>
    </w:r>
    <w:r>
      <w:tab/>
      <w:t>MLK- Gutachterin</w:t>
    </w:r>
    <w:r>
      <w:rPr>
        <w:noProof/>
      </w:rPr>
      <w:drawing>
        <wp:inline distT="0" distB="0" distL="0" distR="0" wp14:anchorId="43B6DD66" wp14:editId="32158F9D">
          <wp:extent cx="289560" cy="289560"/>
          <wp:effectExtent l="0" t="0" r="0" b="0"/>
          <wp:docPr id="1470557532" name="Grafik 2" descr="Ein Bild, das Schrift, Symbol, Logo,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557532" name="Grafik 2" descr="Ein Bild, das Schrift, Symbol, Logo, 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89560" cy="2895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C6B9A" w14:textId="77777777" w:rsidR="002D7F45" w:rsidRDefault="002D7F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C454A"/>
    <w:multiLevelType w:val="multilevel"/>
    <w:tmpl w:val="BD22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920B33"/>
    <w:multiLevelType w:val="hybridMultilevel"/>
    <w:tmpl w:val="A9CA40B4"/>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5D03B40"/>
    <w:multiLevelType w:val="hybridMultilevel"/>
    <w:tmpl w:val="783C29D0"/>
    <w:lvl w:ilvl="0" w:tplc="04070013">
      <w:start w:val="1"/>
      <w:numFmt w:val="upperRoman"/>
      <w:lvlText w:val="%1."/>
      <w:lvlJc w:val="righ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22530754">
    <w:abstractNumId w:val="0"/>
  </w:num>
  <w:num w:numId="2" w16cid:durableId="1407653916">
    <w:abstractNumId w:val="1"/>
  </w:num>
  <w:num w:numId="3" w16cid:durableId="1573730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3B"/>
    <w:rsid w:val="00035A3A"/>
    <w:rsid w:val="002D7F45"/>
    <w:rsid w:val="00433481"/>
    <w:rsid w:val="00847997"/>
    <w:rsid w:val="00B71110"/>
    <w:rsid w:val="00CD4C34"/>
    <w:rsid w:val="00E434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68D9D"/>
  <w15:chartTrackingRefBased/>
  <w15:docId w15:val="{49C6E8CC-D948-4EE1-9254-83E5F769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434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434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4343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4343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4343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4343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4343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4343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4343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43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4343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4343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4343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4343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4343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4343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4343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4343B"/>
    <w:rPr>
      <w:rFonts w:eastAsiaTheme="majorEastAsia" w:cstheme="majorBidi"/>
      <w:color w:val="272727" w:themeColor="text1" w:themeTint="D8"/>
    </w:rPr>
  </w:style>
  <w:style w:type="paragraph" w:styleId="Titel">
    <w:name w:val="Title"/>
    <w:basedOn w:val="Standard"/>
    <w:next w:val="Standard"/>
    <w:link w:val="TitelZchn"/>
    <w:uiPriority w:val="10"/>
    <w:qFormat/>
    <w:rsid w:val="00E434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4343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4343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4343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4343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4343B"/>
    <w:rPr>
      <w:i/>
      <w:iCs/>
      <w:color w:val="404040" w:themeColor="text1" w:themeTint="BF"/>
    </w:rPr>
  </w:style>
  <w:style w:type="paragraph" w:styleId="Listenabsatz">
    <w:name w:val="List Paragraph"/>
    <w:basedOn w:val="Standard"/>
    <w:uiPriority w:val="34"/>
    <w:qFormat/>
    <w:rsid w:val="00E4343B"/>
    <w:pPr>
      <w:ind w:left="720"/>
      <w:contextualSpacing/>
    </w:pPr>
  </w:style>
  <w:style w:type="character" w:styleId="IntensiveHervorhebung">
    <w:name w:val="Intense Emphasis"/>
    <w:basedOn w:val="Absatz-Standardschriftart"/>
    <w:uiPriority w:val="21"/>
    <w:qFormat/>
    <w:rsid w:val="00E4343B"/>
    <w:rPr>
      <w:i/>
      <w:iCs/>
      <w:color w:val="0F4761" w:themeColor="accent1" w:themeShade="BF"/>
    </w:rPr>
  </w:style>
  <w:style w:type="paragraph" w:styleId="IntensivesZitat">
    <w:name w:val="Intense Quote"/>
    <w:basedOn w:val="Standard"/>
    <w:next w:val="Standard"/>
    <w:link w:val="IntensivesZitatZchn"/>
    <w:uiPriority w:val="30"/>
    <w:qFormat/>
    <w:rsid w:val="00E434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4343B"/>
    <w:rPr>
      <w:i/>
      <w:iCs/>
      <w:color w:val="0F4761" w:themeColor="accent1" w:themeShade="BF"/>
    </w:rPr>
  </w:style>
  <w:style w:type="character" w:styleId="IntensiverVerweis">
    <w:name w:val="Intense Reference"/>
    <w:basedOn w:val="Absatz-Standardschriftart"/>
    <w:uiPriority w:val="32"/>
    <w:qFormat/>
    <w:rsid w:val="00E4343B"/>
    <w:rPr>
      <w:b/>
      <w:bCs/>
      <w:smallCaps/>
      <w:color w:val="0F4761" w:themeColor="accent1" w:themeShade="BF"/>
      <w:spacing w:val="5"/>
    </w:rPr>
  </w:style>
  <w:style w:type="paragraph" w:styleId="Kopfzeile">
    <w:name w:val="header"/>
    <w:basedOn w:val="Standard"/>
    <w:link w:val="KopfzeileZchn"/>
    <w:uiPriority w:val="99"/>
    <w:unhideWhenUsed/>
    <w:rsid w:val="002D7F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7F45"/>
  </w:style>
  <w:style w:type="paragraph" w:styleId="Fuzeile">
    <w:name w:val="footer"/>
    <w:basedOn w:val="Standard"/>
    <w:link w:val="FuzeileZchn"/>
    <w:uiPriority w:val="99"/>
    <w:unhideWhenUsed/>
    <w:rsid w:val="002D7F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7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384699">
      <w:bodyDiv w:val="1"/>
      <w:marLeft w:val="0"/>
      <w:marRight w:val="0"/>
      <w:marTop w:val="0"/>
      <w:marBottom w:val="0"/>
      <w:divBdr>
        <w:top w:val="none" w:sz="0" w:space="0" w:color="auto"/>
        <w:left w:val="none" w:sz="0" w:space="0" w:color="auto"/>
        <w:bottom w:val="none" w:sz="0" w:space="0" w:color="auto"/>
        <w:right w:val="none" w:sz="0" w:space="0" w:color="auto"/>
      </w:divBdr>
      <w:divsChild>
        <w:div w:id="169567577">
          <w:marLeft w:val="0"/>
          <w:marRight w:val="0"/>
          <w:marTop w:val="0"/>
          <w:marBottom w:val="0"/>
          <w:divBdr>
            <w:top w:val="none" w:sz="0" w:space="0" w:color="auto"/>
            <w:left w:val="none" w:sz="0" w:space="0" w:color="auto"/>
            <w:bottom w:val="none" w:sz="0" w:space="0" w:color="auto"/>
            <w:right w:val="none" w:sz="0" w:space="0" w:color="auto"/>
          </w:divBdr>
        </w:div>
        <w:div w:id="223877397">
          <w:marLeft w:val="0"/>
          <w:marRight w:val="0"/>
          <w:marTop w:val="0"/>
          <w:marBottom w:val="0"/>
          <w:divBdr>
            <w:top w:val="none" w:sz="0" w:space="0" w:color="auto"/>
            <w:left w:val="none" w:sz="0" w:space="0" w:color="auto"/>
            <w:bottom w:val="none" w:sz="0" w:space="0" w:color="auto"/>
            <w:right w:val="none" w:sz="0" w:space="0" w:color="auto"/>
          </w:divBdr>
          <w:divsChild>
            <w:div w:id="629745824">
              <w:marLeft w:val="0"/>
              <w:marRight w:val="0"/>
              <w:marTop w:val="0"/>
              <w:marBottom w:val="0"/>
              <w:divBdr>
                <w:top w:val="none" w:sz="0" w:space="0" w:color="auto"/>
                <w:left w:val="none" w:sz="0" w:space="0" w:color="auto"/>
                <w:bottom w:val="none" w:sz="0" w:space="0" w:color="auto"/>
                <w:right w:val="none" w:sz="0" w:space="0" w:color="auto"/>
              </w:divBdr>
              <w:divsChild>
                <w:div w:id="102710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2988</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Christine Ley-Kalender</dc:creator>
  <cp:keywords/>
  <dc:description/>
  <cp:lastModifiedBy>Monika Christine Ley-Kalender</cp:lastModifiedBy>
  <cp:revision>2</cp:revision>
  <dcterms:created xsi:type="dcterms:W3CDTF">2024-08-14T09:33:00Z</dcterms:created>
  <dcterms:modified xsi:type="dcterms:W3CDTF">2024-08-14T09:33:00Z</dcterms:modified>
</cp:coreProperties>
</file>