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4171" w14:textId="11379F07" w:rsidR="00D95B41" w:rsidRPr="003166C0" w:rsidRDefault="00D95B41" w:rsidP="00D95B4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166C0">
        <w:rPr>
          <w:rFonts w:ascii="Arial" w:hAnsi="Arial" w:cs="Arial"/>
          <w:b/>
          <w:bCs/>
          <w:sz w:val="28"/>
          <w:szCs w:val="28"/>
        </w:rPr>
        <w:t>„Wer Brücken baut, überwindet Gräben“</w:t>
      </w:r>
    </w:p>
    <w:p w14:paraId="14B79A4F" w14:textId="0CE19638" w:rsidR="006726CA" w:rsidRDefault="006726CA" w:rsidP="004D1C71">
      <w:pPr>
        <w:rPr>
          <w:rFonts w:ascii="Arial" w:hAnsi="Arial" w:cs="Arial"/>
          <w:b/>
          <w:bCs/>
          <w:sz w:val="20"/>
          <w:szCs w:val="20"/>
        </w:rPr>
      </w:pPr>
      <w:r w:rsidRPr="003166C0">
        <w:rPr>
          <w:rFonts w:ascii="Arial" w:hAnsi="Arial" w:cs="Arial"/>
          <w:b/>
          <w:bCs/>
          <w:sz w:val="20"/>
          <w:szCs w:val="20"/>
        </w:rPr>
        <w:t xml:space="preserve">Einweihung </w:t>
      </w:r>
      <w:r w:rsidR="00BB15DA">
        <w:rPr>
          <w:rFonts w:ascii="Arial" w:hAnsi="Arial" w:cs="Arial"/>
          <w:b/>
          <w:bCs/>
          <w:sz w:val="20"/>
          <w:szCs w:val="20"/>
        </w:rPr>
        <w:t>eines</w:t>
      </w:r>
      <w:r w:rsidR="00E3786D" w:rsidRPr="003166C0">
        <w:rPr>
          <w:rFonts w:ascii="Arial" w:hAnsi="Arial" w:cs="Arial"/>
          <w:b/>
          <w:bCs/>
          <w:sz w:val="20"/>
          <w:szCs w:val="20"/>
        </w:rPr>
        <w:t xml:space="preserve"> ersten</w:t>
      </w:r>
      <w:r w:rsidRPr="003166C0">
        <w:rPr>
          <w:rFonts w:ascii="Arial" w:hAnsi="Arial" w:cs="Arial"/>
          <w:b/>
          <w:bCs/>
          <w:sz w:val="20"/>
          <w:szCs w:val="20"/>
        </w:rPr>
        <w:t xml:space="preserve"> </w:t>
      </w:r>
      <w:r w:rsidR="00D95B41" w:rsidRPr="003166C0">
        <w:rPr>
          <w:rFonts w:ascii="Arial" w:hAnsi="Arial" w:cs="Arial"/>
          <w:b/>
          <w:bCs/>
          <w:sz w:val="20"/>
          <w:szCs w:val="20"/>
        </w:rPr>
        <w:t>deutsch-griechischen</w:t>
      </w:r>
      <w:r w:rsidRPr="003166C0">
        <w:rPr>
          <w:rFonts w:ascii="Arial" w:hAnsi="Arial" w:cs="Arial"/>
          <w:b/>
          <w:bCs/>
          <w:sz w:val="20"/>
          <w:szCs w:val="20"/>
        </w:rPr>
        <w:t xml:space="preserve"> Erinnerungs- &amp; Friedenspfades</w:t>
      </w:r>
      <w:r w:rsidR="00D95B41" w:rsidRPr="003166C0">
        <w:rPr>
          <w:rFonts w:ascii="Arial" w:hAnsi="Arial" w:cs="Arial"/>
          <w:b/>
          <w:bCs/>
          <w:sz w:val="20"/>
          <w:szCs w:val="20"/>
        </w:rPr>
        <w:t xml:space="preserve"> in Hofheim/Ts.</w:t>
      </w:r>
    </w:p>
    <w:p w14:paraId="15E15142" w14:textId="2472C379" w:rsidR="007D4405" w:rsidRPr="007D4405" w:rsidRDefault="00BB15DA" w:rsidP="007D4405">
      <w:pPr>
        <w:ind w:right="-1"/>
        <w:rPr>
          <w:rFonts w:ascii="Arial" w:hAnsi="Arial" w:cs="Arial"/>
          <w:b/>
        </w:rPr>
      </w:pPr>
      <w:r w:rsidRPr="003166C0">
        <w:rPr>
          <w:rFonts w:ascii="Arial" w:hAnsi="Arial" w:cs="Arial"/>
          <w:b/>
        </w:rPr>
        <w:t>Am Sonntag, den 10. Juli 2022, ab</w:t>
      </w:r>
      <w:r w:rsidR="006527B4">
        <w:rPr>
          <w:rFonts w:ascii="Arial" w:hAnsi="Arial" w:cs="Arial"/>
          <w:b/>
        </w:rPr>
        <w:t xml:space="preserve"> 11.15 Uhr findet in</w:t>
      </w:r>
      <w:r w:rsidRPr="003166C0">
        <w:rPr>
          <w:rFonts w:ascii="Arial" w:hAnsi="Arial" w:cs="Arial"/>
          <w:b/>
        </w:rPr>
        <w:t xml:space="preserve"> Hofheim/Ts., Am Ehrenmal, die Einweihung </w:t>
      </w:r>
      <w:r w:rsidR="00364FAA">
        <w:rPr>
          <w:rFonts w:ascii="Arial" w:hAnsi="Arial" w:cs="Arial"/>
          <w:b/>
        </w:rPr>
        <w:t>eines</w:t>
      </w:r>
      <w:r w:rsidRPr="003166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deutsch-griechischen </w:t>
      </w:r>
      <w:r>
        <w:rPr>
          <w:rFonts w:ascii="Arial" w:hAnsi="Arial" w:cs="Arial"/>
          <w:b/>
        </w:rPr>
        <w:t xml:space="preserve">Erinnerungs- &amp; </w:t>
      </w:r>
      <w:r>
        <w:rPr>
          <w:rFonts w:ascii="Arial" w:hAnsi="Arial" w:cs="Arial"/>
          <w:b/>
        </w:rPr>
        <w:t>Friedensp</w:t>
      </w:r>
      <w:r w:rsidRPr="003166C0">
        <w:rPr>
          <w:rFonts w:ascii="Arial" w:hAnsi="Arial" w:cs="Arial"/>
          <w:b/>
        </w:rPr>
        <w:t xml:space="preserve">fades mit VertreterInnen und BürgerInnen der Stadt Hofheim </w:t>
      </w:r>
      <w:r>
        <w:rPr>
          <w:rFonts w:ascii="Arial" w:hAnsi="Arial" w:cs="Arial"/>
          <w:b/>
        </w:rPr>
        <w:t xml:space="preserve">u. a. </w:t>
      </w:r>
      <w:r w:rsidRPr="003166C0">
        <w:rPr>
          <w:rFonts w:ascii="Arial" w:hAnsi="Arial" w:cs="Arial"/>
          <w:b/>
        </w:rPr>
        <w:t xml:space="preserve">statt. </w:t>
      </w:r>
      <w:r w:rsidR="007D4405" w:rsidRPr="007D4405">
        <w:rPr>
          <w:rFonts w:ascii="Arial" w:hAnsi="Arial" w:cs="Arial"/>
          <w:b/>
        </w:rPr>
        <w:t xml:space="preserve">Deutsche und griechische Musiker*innen sowie ein Weinstand mit griechischen Weinen umrahmen die Feier, die vom Schirmherr und Bürgermeister Christian Vogt eröffnet wird. </w:t>
      </w:r>
    </w:p>
    <w:p w14:paraId="0B941BD4" w14:textId="61953FB4" w:rsidR="00BB15DA" w:rsidRDefault="00BB15DA" w:rsidP="00BB15DA">
      <w:pPr>
        <w:ind w:right="-1"/>
        <w:rPr>
          <w:rFonts w:ascii="Arial" w:hAnsi="Arial" w:cs="Arial"/>
        </w:rPr>
      </w:pPr>
      <w:r w:rsidRPr="003166C0">
        <w:rPr>
          <w:rFonts w:ascii="Arial" w:hAnsi="Arial" w:cs="Arial"/>
        </w:rPr>
        <w:t xml:space="preserve">Unter dem Motto „BRÜCKEN SCHLAGEN“ schufen sechzehn deutsche und eigens hierfür angereiste Kunstschaffende aus Griechenland im Sommer 2021 im Hof Ehry </w:t>
      </w:r>
      <w:r w:rsidR="00364FAA">
        <w:rPr>
          <w:rFonts w:ascii="Arial" w:hAnsi="Arial" w:cs="Arial"/>
        </w:rPr>
        <w:t>der Stadt</w:t>
      </w:r>
      <w:r w:rsidR="00C81426">
        <w:rPr>
          <w:rFonts w:ascii="Arial" w:hAnsi="Arial" w:cs="Arial"/>
        </w:rPr>
        <w:t xml:space="preserve"> Hofheim/Ts. </w:t>
      </w:r>
      <w:r w:rsidRPr="003166C0">
        <w:rPr>
          <w:rFonts w:ascii="Arial" w:hAnsi="Arial" w:cs="Arial"/>
        </w:rPr>
        <w:t>Skulpturen für eine begehbare Stätte der Eri</w:t>
      </w:r>
      <w:r>
        <w:rPr>
          <w:rFonts w:ascii="Arial" w:hAnsi="Arial" w:cs="Arial"/>
        </w:rPr>
        <w:t xml:space="preserve">nnerung und des Friedens </w:t>
      </w:r>
      <w:r w:rsidR="007D4405">
        <w:rPr>
          <w:rFonts w:ascii="Arial" w:hAnsi="Arial" w:cs="Arial"/>
        </w:rPr>
        <w:t xml:space="preserve">zwischen beiden Ländern </w:t>
      </w:r>
      <w:r>
        <w:rPr>
          <w:rFonts w:ascii="Arial" w:hAnsi="Arial" w:cs="Arial"/>
        </w:rPr>
        <w:t xml:space="preserve">(Projektinfos unter: </w:t>
      </w:r>
      <w:r w:rsidRPr="003166C0">
        <w:rPr>
          <w:rFonts w:ascii="Arial" w:hAnsi="Arial" w:cs="Arial"/>
        </w:rPr>
        <w:t>https://bruecken-bauen-1.jimdosite.com/). Zehn</w:t>
      </w:r>
      <w:r>
        <w:rPr>
          <w:rFonts w:ascii="Arial" w:hAnsi="Arial" w:cs="Arial"/>
        </w:rPr>
        <w:t xml:space="preserve"> von einer Jury </w:t>
      </w:r>
      <w:r w:rsidRPr="003166C0">
        <w:rPr>
          <w:rFonts w:ascii="Arial" w:hAnsi="Arial" w:cs="Arial"/>
        </w:rPr>
        <w:t>ausgewählte Skulpturen und eine Gedenktafel</w:t>
      </w:r>
      <w:r w:rsidR="00C32938">
        <w:rPr>
          <w:rFonts w:ascii="Arial" w:hAnsi="Arial" w:cs="Arial"/>
        </w:rPr>
        <w:t xml:space="preserve"> finden in Zukunft ihren Platz entlang des Pfades am Ehrenmal in Hofheim. </w:t>
      </w:r>
    </w:p>
    <w:p w14:paraId="58FF53A3" w14:textId="3EC4D389" w:rsidR="00BB15DA" w:rsidRDefault="00BB15DA" w:rsidP="00C814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683FD05F" wp14:editId="1E071D09">
            <wp:extent cx="1149829" cy="857250"/>
            <wp:effectExtent l="0" t="635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9962" cy="89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222E4798" wp14:editId="08E14702">
            <wp:extent cx="1160145" cy="857768"/>
            <wp:effectExtent l="0" t="952" r="952" b="953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2339" cy="90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58D67A72" wp14:editId="37244620">
            <wp:extent cx="1148715" cy="873509"/>
            <wp:effectExtent l="4445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5374" cy="9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2230F347" wp14:editId="5EF9CC9D">
            <wp:extent cx="1153887" cy="858850"/>
            <wp:effectExtent l="0" t="4762" r="3492" b="3493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5574" cy="88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426"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226CB4EA" wp14:editId="2F1A9A42">
            <wp:extent cx="1160268" cy="855345"/>
            <wp:effectExtent l="0" t="0" r="190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2708" cy="8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66B0B0E6" wp14:editId="391467E4">
            <wp:extent cx="1161733" cy="867087"/>
            <wp:effectExtent l="0" t="508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7820" cy="90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426">
        <w:rPr>
          <w:rFonts w:ascii="Arial" w:hAnsi="Arial" w:cs="Arial"/>
          <w:b/>
          <w:bCs/>
          <w:sz w:val="20"/>
          <w:szCs w:val="20"/>
        </w:rPr>
        <w:br/>
      </w:r>
      <w:r w:rsidR="00C81426"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53F3AE31" wp14:editId="2267745B">
            <wp:extent cx="1194262" cy="864854"/>
            <wp:effectExtent l="0" t="6668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5851" cy="9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28FCF60C" wp14:editId="4624FD84">
            <wp:extent cx="1193274" cy="864235"/>
            <wp:effectExtent l="0" t="6985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7604" cy="91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2E5DF32E" wp14:editId="771AB5E3">
            <wp:extent cx="1190636" cy="878205"/>
            <wp:effectExtent l="381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211282" cy="89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7E6219E5" wp14:editId="4BC8A1A9">
            <wp:extent cx="1189355" cy="872976"/>
            <wp:effectExtent l="6033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5753" cy="9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426"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70DF9DBF" wp14:editId="40013BB2">
            <wp:extent cx="1187739" cy="858520"/>
            <wp:effectExtent l="0" t="6985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3504" cy="91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C0">
        <w:rPr>
          <w:rFonts w:ascii="Arial" w:hAnsi="Arial" w:cs="Arial"/>
          <w:noProof/>
          <w:lang w:eastAsia="de-DE"/>
        </w:rPr>
        <w:drawing>
          <wp:inline distT="0" distB="0" distL="0" distR="0" wp14:anchorId="27AF6E2D" wp14:editId="7792DEE8">
            <wp:extent cx="1191895" cy="857509"/>
            <wp:effectExtent l="0" t="4127" r="4127" b="4128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5563" cy="94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6006" w14:textId="5A16C24C" w:rsidR="00BB15DA" w:rsidRDefault="00BB15DA" w:rsidP="00BB15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66C0">
        <w:rPr>
          <w:rFonts w:ascii="Arial" w:hAnsi="Arial" w:cs="Arial"/>
          <w:b/>
          <w:bCs/>
          <w:sz w:val="16"/>
          <w:szCs w:val="16"/>
        </w:rPr>
        <w:t>Bilder v.o.n.u./v.l.n.r.:Ausgewählte Skulpturen für den Erinnerungs- &amp; Friedenspfad sowie Rathaus in Hofheim/Ts.</w:t>
      </w:r>
      <w:r w:rsidRPr="003166C0">
        <w:rPr>
          <w:rFonts w:ascii="Arial" w:hAnsi="Arial" w:cs="Arial"/>
          <w:b/>
          <w:bCs/>
          <w:sz w:val="16"/>
          <w:szCs w:val="16"/>
        </w:rPr>
        <w:br/>
        <w:t xml:space="preserve">KünsterInnen: Argiris Rallias, Norbert Windhab, Barbara Pauli-Tetkov, Fotis Serpanos, Elena Raftopoulou, Lambros Farmakis, </w:t>
      </w:r>
      <w:r w:rsidR="00C81426">
        <w:rPr>
          <w:rFonts w:ascii="Arial" w:hAnsi="Arial" w:cs="Arial"/>
          <w:b/>
          <w:bCs/>
          <w:sz w:val="16"/>
          <w:szCs w:val="16"/>
        </w:rPr>
        <w:br/>
      </w:r>
      <w:r w:rsidRPr="003166C0">
        <w:rPr>
          <w:rFonts w:ascii="Arial" w:hAnsi="Arial" w:cs="Arial"/>
          <w:b/>
          <w:bCs/>
          <w:sz w:val="16"/>
          <w:szCs w:val="16"/>
        </w:rPr>
        <w:t>Annette Courtis, Antonis Nastoulis, Dimitris Stoumpos, H</w:t>
      </w:r>
      <w:r w:rsidR="00C81426">
        <w:rPr>
          <w:rFonts w:ascii="Arial" w:hAnsi="Arial" w:cs="Arial"/>
          <w:b/>
          <w:bCs/>
          <w:sz w:val="16"/>
          <w:szCs w:val="16"/>
        </w:rPr>
        <w:t>anne Voswinkel, Nikos Margonis</w:t>
      </w:r>
      <w:r w:rsidRPr="003166C0">
        <w:rPr>
          <w:rFonts w:ascii="Arial" w:hAnsi="Arial" w:cs="Arial"/>
          <w:b/>
          <w:bCs/>
          <w:sz w:val="16"/>
          <w:szCs w:val="16"/>
        </w:rPr>
        <w:br/>
      </w:r>
      <w:r w:rsidRPr="003166C0">
        <w:rPr>
          <w:rFonts w:ascii="Arial" w:hAnsi="Arial" w:cs="Arial"/>
          <w:b/>
          <w:bCs/>
          <w:i/>
          <w:iCs/>
          <w:sz w:val="16"/>
          <w:szCs w:val="16"/>
        </w:rPr>
        <w:t>(Fotos: Annette Courtis, Herbert Fischer)</w:t>
      </w:r>
    </w:p>
    <w:p w14:paraId="18F8D8BA" w14:textId="77777777" w:rsidR="00BB15DA" w:rsidRPr="003166C0" w:rsidRDefault="00BB15DA" w:rsidP="00BB15DA">
      <w:pPr>
        <w:ind w:right="-1"/>
        <w:rPr>
          <w:rFonts w:ascii="Arial" w:hAnsi="Arial" w:cs="Arial"/>
          <w:b/>
          <w:sz w:val="10"/>
          <w:szCs w:val="10"/>
        </w:rPr>
      </w:pPr>
    </w:p>
    <w:p w14:paraId="693289C5" w14:textId="5F271FFB" w:rsidR="00BB15DA" w:rsidRDefault="00364FAA" w:rsidP="00BB15DA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 w:rsidR="007D4405">
        <w:rPr>
          <w:rFonts w:ascii="Arial" w:hAnsi="Arial" w:cs="Arial"/>
        </w:rPr>
        <w:t>ersten</w:t>
      </w:r>
      <w:r>
        <w:rPr>
          <w:rFonts w:ascii="Arial" w:hAnsi="Arial" w:cs="Arial"/>
        </w:rPr>
        <w:t xml:space="preserve"> </w:t>
      </w:r>
      <w:r w:rsidR="00F22C48">
        <w:rPr>
          <w:rFonts w:ascii="Arial" w:hAnsi="Arial" w:cs="Arial"/>
        </w:rPr>
        <w:t xml:space="preserve">tragenden </w:t>
      </w:r>
      <w:r>
        <w:rPr>
          <w:rFonts w:ascii="Arial" w:hAnsi="Arial" w:cs="Arial"/>
        </w:rPr>
        <w:t>Grundpfeiler für eine solide und länderverbindende Brücke schufen die Künstler*innen bereits i</w:t>
      </w:r>
      <w:r w:rsidR="00BB15DA" w:rsidRPr="003166C0">
        <w:rPr>
          <w:rFonts w:ascii="Arial" w:hAnsi="Arial" w:cs="Arial"/>
        </w:rPr>
        <w:t xml:space="preserve">m </w:t>
      </w:r>
      <w:r w:rsidR="00BB15DA">
        <w:rPr>
          <w:rFonts w:ascii="Arial" w:hAnsi="Arial" w:cs="Arial"/>
        </w:rPr>
        <w:t xml:space="preserve">Jahre 2019 </w:t>
      </w:r>
      <w:r>
        <w:rPr>
          <w:rFonts w:ascii="Arial" w:hAnsi="Arial" w:cs="Arial"/>
        </w:rPr>
        <w:t xml:space="preserve">mit der Errichtung einer Gedenkstätte im Bergdorf </w:t>
      </w:r>
      <w:r w:rsidR="00BB15DA" w:rsidRPr="003166C0">
        <w:rPr>
          <w:rFonts w:ascii="Arial" w:hAnsi="Arial" w:cs="Arial"/>
        </w:rPr>
        <w:t>Chouni b</w:t>
      </w:r>
      <w:r>
        <w:rPr>
          <w:rFonts w:ascii="Arial" w:hAnsi="Arial" w:cs="Arial"/>
        </w:rPr>
        <w:t>ei Agrinio in Westgriechenland (</w:t>
      </w:r>
      <w:r w:rsidR="00BB15DA" w:rsidRPr="003166C0">
        <w:rPr>
          <w:rFonts w:ascii="Arial" w:hAnsi="Arial" w:cs="Arial"/>
        </w:rPr>
        <w:t xml:space="preserve">Infos: </w:t>
      </w:r>
      <w:r w:rsidRPr="00364FAA">
        <w:rPr>
          <w:rFonts w:ascii="Arial" w:hAnsi="Arial" w:cs="Arial"/>
        </w:rPr>
        <w:t>https://sculpturing-in-chouni.jimdosite.com/</w:t>
      </w:r>
      <w:r>
        <w:rPr>
          <w:rFonts w:ascii="Arial" w:hAnsi="Arial" w:cs="Arial"/>
        </w:rPr>
        <w:t xml:space="preserve">). </w:t>
      </w:r>
    </w:p>
    <w:p w14:paraId="255D0C39" w14:textId="38B000E9" w:rsidR="007D4405" w:rsidRDefault="007D4405" w:rsidP="007D4405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Das Projekt im Rhein-Main-Gebiet stellt </w:t>
      </w:r>
      <w:r>
        <w:rPr>
          <w:rFonts w:ascii="Arial" w:hAnsi="Arial" w:cs="Arial"/>
        </w:rPr>
        <w:t xml:space="preserve">den zweiten </w:t>
      </w:r>
      <w:r>
        <w:rPr>
          <w:rFonts w:ascii="Arial" w:hAnsi="Arial" w:cs="Arial"/>
        </w:rPr>
        <w:t xml:space="preserve">Grundpfeiler für eine </w:t>
      </w:r>
      <w:r w:rsidR="005A17F0">
        <w:rPr>
          <w:rFonts w:ascii="Arial" w:hAnsi="Arial" w:cs="Arial"/>
        </w:rPr>
        <w:t>gelebte</w:t>
      </w:r>
      <w:r w:rsidR="00C81426">
        <w:rPr>
          <w:rFonts w:ascii="Arial" w:hAnsi="Arial" w:cs="Arial"/>
        </w:rPr>
        <w:t xml:space="preserve"> Erinnerungskultur und </w:t>
      </w:r>
      <w:r>
        <w:rPr>
          <w:rFonts w:ascii="Arial" w:hAnsi="Arial" w:cs="Arial"/>
        </w:rPr>
        <w:t xml:space="preserve">Völkerverständigung, aber auch </w:t>
      </w:r>
      <w:r w:rsidR="00C81426">
        <w:rPr>
          <w:rFonts w:ascii="Arial" w:hAnsi="Arial" w:cs="Arial"/>
        </w:rPr>
        <w:t>e</w:t>
      </w:r>
      <w:r>
        <w:rPr>
          <w:rFonts w:ascii="Arial" w:hAnsi="Arial" w:cs="Arial"/>
        </w:rPr>
        <w:t>in Mahnmal für den Frieden dar</w:t>
      </w:r>
      <w:r w:rsidR="00C81426">
        <w:rPr>
          <w:rFonts w:ascii="Arial" w:hAnsi="Arial" w:cs="Arial"/>
        </w:rPr>
        <w:t>. Di</w:t>
      </w:r>
      <w:r>
        <w:rPr>
          <w:rFonts w:ascii="Arial" w:hAnsi="Arial" w:cs="Arial"/>
        </w:rPr>
        <w:t xml:space="preserve">e Ereignisse </w:t>
      </w:r>
      <w:r w:rsidRPr="003166C0">
        <w:rPr>
          <w:rFonts w:ascii="Arial" w:hAnsi="Arial" w:cs="Arial"/>
        </w:rPr>
        <w:t xml:space="preserve">der aktuellen Zeit </w:t>
      </w:r>
      <w:r>
        <w:rPr>
          <w:rFonts w:ascii="Arial" w:hAnsi="Arial" w:cs="Arial"/>
        </w:rPr>
        <w:t xml:space="preserve">machen </w:t>
      </w:r>
      <w:r w:rsidRPr="003166C0">
        <w:rPr>
          <w:rFonts w:ascii="Arial" w:hAnsi="Arial" w:cs="Arial"/>
        </w:rPr>
        <w:t>deutlich, welch großes Geschenk der Frieden ist</w:t>
      </w:r>
      <w:r w:rsidR="00C81426">
        <w:rPr>
          <w:rFonts w:ascii="Arial" w:hAnsi="Arial" w:cs="Arial"/>
        </w:rPr>
        <w:t>, den</w:t>
      </w:r>
      <w:r>
        <w:rPr>
          <w:rFonts w:ascii="Arial" w:hAnsi="Arial" w:cs="Arial"/>
        </w:rPr>
        <w:t xml:space="preserve"> </w:t>
      </w:r>
      <w:r w:rsidR="00C81426">
        <w:rPr>
          <w:rFonts w:ascii="Arial" w:hAnsi="Arial" w:cs="Arial"/>
        </w:rPr>
        <w:t>aktuelle und zukünftige Generationen stets aufs Neue aktiv zu gestalten aufgefordert sind</w:t>
      </w:r>
      <w:r w:rsidRPr="003166C0">
        <w:rPr>
          <w:rFonts w:ascii="Arial" w:hAnsi="Arial" w:cs="Arial"/>
        </w:rPr>
        <w:t xml:space="preserve">. Er ist </w:t>
      </w:r>
      <w:r>
        <w:rPr>
          <w:rFonts w:ascii="Arial" w:hAnsi="Arial" w:cs="Arial"/>
        </w:rPr>
        <w:t>keine</w:t>
      </w:r>
      <w:r w:rsidRPr="00316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3166C0">
        <w:rPr>
          <w:rFonts w:ascii="Arial" w:hAnsi="Arial" w:cs="Arial"/>
        </w:rPr>
        <w:t>elbstverständlich</w:t>
      </w:r>
      <w:r>
        <w:rPr>
          <w:rFonts w:ascii="Arial" w:hAnsi="Arial" w:cs="Arial"/>
        </w:rPr>
        <w:t>keit.</w:t>
      </w:r>
    </w:p>
    <w:p w14:paraId="39D63056" w14:textId="6CA0942D" w:rsidR="00E86BEF" w:rsidRPr="000D0E83" w:rsidRDefault="00364FAA" w:rsidP="00F058A8">
      <w:pPr>
        <w:ind w:right="-1"/>
        <w:rPr>
          <w:rFonts w:ascii="Arial" w:hAnsi="Arial" w:cs="Arial"/>
          <w:b/>
          <w:bCs/>
          <w:i/>
          <w:iCs/>
          <w:sz w:val="16"/>
          <w:szCs w:val="16"/>
          <w:lang w:val="el-GR"/>
        </w:rPr>
      </w:pPr>
      <w:r w:rsidRPr="003166C0">
        <w:rPr>
          <w:rFonts w:ascii="Arial" w:hAnsi="Arial" w:cs="Arial"/>
        </w:rPr>
        <w:t>Ermöglicht wurde da</w:t>
      </w:r>
      <w:r w:rsidR="007D4405">
        <w:rPr>
          <w:rFonts w:ascii="Arial" w:hAnsi="Arial" w:cs="Arial"/>
        </w:rPr>
        <w:t>s Gesamtv</w:t>
      </w:r>
      <w:r w:rsidRPr="003166C0">
        <w:rPr>
          <w:rFonts w:ascii="Arial" w:hAnsi="Arial" w:cs="Arial"/>
        </w:rPr>
        <w:t xml:space="preserve">orhaben </w:t>
      </w:r>
      <w:r>
        <w:rPr>
          <w:rFonts w:ascii="Arial" w:hAnsi="Arial" w:cs="Arial"/>
        </w:rPr>
        <w:t xml:space="preserve">in Hofheim und Frankfurt </w:t>
      </w:r>
      <w:r w:rsidRPr="003166C0">
        <w:rPr>
          <w:rFonts w:ascii="Arial" w:hAnsi="Arial" w:cs="Arial"/>
        </w:rPr>
        <w:t>mit der finanziellen Unterstützung des Kulturfonds Frankfurt RheinMain GmbH, der Hess</w:t>
      </w:r>
      <w:r>
        <w:rPr>
          <w:rFonts w:ascii="Arial" w:hAnsi="Arial" w:cs="Arial"/>
        </w:rPr>
        <w:t>ischen Staatskanzlei und Gemein</w:t>
      </w:r>
      <w:r w:rsidRPr="003166C0">
        <w:rPr>
          <w:rFonts w:ascii="Arial" w:hAnsi="Arial" w:cs="Arial"/>
        </w:rPr>
        <w:t xml:space="preserve">nützigen Kulturstiftung der Taunus Sparkasse </w:t>
      </w:r>
      <w:r w:rsidR="00C81426">
        <w:rPr>
          <w:rFonts w:ascii="Arial" w:hAnsi="Arial" w:cs="Arial"/>
        </w:rPr>
        <w:t>sowie</w:t>
      </w:r>
      <w:r w:rsidRPr="003166C0">
        <w:rPr>
          <w:rFonts w:ascii="Arial" w:hAnsi="Arial" w:cs="Arial"/>
        </w:rPr>
        <w:t xml:space="preserve"> des Kulturamtes der Stadt Frankfurt/M., der </w:t>
      </w:r>
      <w:r>
        <w:rPr>
          <w:rFonts w:ascii="Arial" w:hAnsi="Arial" w:cs="Arial"/>
        </w:rPr>
        <w:t xml:space="preserve">Stadt Hofheim und der </w:t>
      </w:r>
      <w:r w:rsidRPr="003166C0">
        <w:rPr>
          <w:rFonts w:ascii="Arial" w:hAnsi="Arial" w:cs="Arial"/>
        </w:rPr>
        <w:t>Schirmherrschaft des Hofheime</w:t>
      </w:r>
      <w:r>
        <w:rPr>
          <w:rFonts w:ascii="Arial" w:hAnsi="Arial" w:cs="Arial"/>
        </w:rPr>
        <w:t xml:space="preserve">r Bürgermeisters Christian Vogt, </w:t>
      </w:r>
      <w:r w:rsidRPr="003166C0">
        <w:rPr>
          <w:rFonts w:ascii="Arial" w:hAnsi="Arial" w:cs="Arial"/>
        </w:rPr>
        <w:t xml:space="preserve">dem Träger Marta Hoepffner-Gesellschaft für Fotografie e. V. in Zusammenarbeit mit Pater Gregorious Sorovakos </w:t>
      </w:r>
      <w:r w:rsidR="00C81426">
        <w:rPr>
          <w:rFonts w:ascii="Arial" w:hAnsi="Arial" w:cs="Arial"/>
        </w:rPr>
        <w:t>sowie</w:t>
      </w:r>
      <w:r w:rsidRPr="003166C0">
        <w:rPr>
          <w:rFonts w:ascii="Arial" w:hAnsi="Arial" w:cs="Arial"/>
        </w:rPr>
        <w:t xml:space="preserve"> seiner griechisch-orthodoxen Kirchengeme</w:t>
      </w:r>
      <w:r>
        <w:rPr>
          <w:rFonts w:ascii="Arial" w:hAnsi="Arial" w:cs="Arial"/>
        </w:rPr>
        <w:t>inde P</w:t>
      </w:r>
      <w:r w:rsidR="007D4405">
        <w:rPr>
          <w:rFonts w:ascii="Arial" w:hAnsi="Arial" w:cs="Arial"/>
        </w:rPr>
        <w:t xml:space="preserve">rophet Elias in Frankfurt. </w:t>
      </w:r>
      <w:r w:rsidR="005A17F0">
        <w:rPr>
          <w:rFonts w:ascii="Arial" w:hAnsi="Arial" w:cs="Arial"/>
        </w:rPr>
        <w:br/>
      </w:r>
      <w:r w:rsidR="007D440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as Projekt in Griechenland </w:t>
      </w:r>
      <w:r w:rsidR="007D4405">
        <w:rPr>
          <w:rFonts w:ascii="Arial" w:hAnsi="Arial" w:cs="Arial"/>
        </w:rPr>
        <w:t xml:space="preserve">konnte </w:t>
      </w:r>
      <w:r>
        <w:rPr>
          <w:rFonts w:ascii="Arial" w:hAnsi="Arial" w:cs="Arial"/>
        </w:rPr>
        <w:t xml:space="preserve">mit der </w:t>
      </w:r>
      <w:r w:rsidR="007D4405">
        <w:rPr>
          <w:rFonts w:ascii="Arial" w:hAnsi="Arial" w:cs="Arial"/>
        </w:rPr>
        <w:t xml:space="preserve">Schirmherrschaft und </w:t>
      </w:r>
      <w:r>
        <w:rPr>
          <w:rFonts w:ascii="Arial" w:hAnsi="Arial" w:cs="Arial"/>
        </w:rPr>
        <w:t xml:space="preserve">Unterstützung </w:t>
      </w:r>
      <w:r w:rsidRPr="003166C0">
        <w:rPr>
          <w:rFonts w:ascii="Arial" w:hAnsi="Arial" w:cs="Arial"/>
        </w:rPr>
        <w:t>der stellv. Bürgermeisterin (Kulturreferat) Maria Papageorgiou aus der Stadt Agrinio in Westgriechenland</w:t>
      </w:r>
      <w:r>
        <w:rPr>
          <w:rFonts w:ascii="Arial" w:hAnsi="Arial" w:cs="Arial"/>
        </w:rPr>
        <w:t xml:space="preserve"> </w:t>
      </w:r>
      <w:r w:rsidRPr="003166C0">
        <w:rPr>
          <w:rFonts w:ascii="Arial" w:hAnsi="Arial" w:cs="Arial"/>
        </w:rPr>
        <w:t>sowie den zahlre</w:t>
      </w:r>
      <w:r w:rsidR="005A17F0">
        <w:rPr>
          <w:rFonts w:ascii="Arial" w:hAnsi="Arial" w:cs="Arial"/>
        </w:rPr>
        <w:t>ich ehrenamtlich tätigen Helfer*i</w:t>
      </w:r>
      <w:r w:rsidRPr="003166C0">
        <w:rPr>
          <w:rFonts w:ascii="Arial" w:hAnsi="Arial" w:cs="Arial"/>
        </w:rPr>
        <w:t>nnen</w:t>
      </w:r>
      <w:r>
        <w:rPr>
          <w:rFonts w:ascii="Arial" w:hAnsi="Arial" w:cs="Arial"/>
        </w:rPr>
        <w:t xml:space="preserve"> </w:t>
      </w:r>
      <w:r w:rsidR="007D4405">
        <w:rPr>
          <w:rFonts w:ascii="Arial" w:hAnsi="Arial" w:cs="Arial"/>
        </w:rPr>
        <w:t>realisiert</w:t>
      </w:r>
      <w:r>
        <w:rPr>
          <w:rFonts w:ascii="Arial" w:hAnsi="Arial" w:cs="Arial"/>
        </w:rPr>
        <w:t xml:space="preserve"> </w:t>
      </w:r>
      <w:r w:rsidR="007D4405">
        <w:rPr>
          <w:rFonts w:ascii="Arial" w:hAnsi="Arial" w:cs="Arial"/>
        </w:rPr>
        <w:t>werden</w:t>
      </w:r>
      <w:r w:rsidRPr="003166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Initiatorinnen, </w:t>
      </w:r>
      <w:r>
        <w:rPr>
          <w:rFonts w:ascii="Arial" w:hAnsi="Arial" w:cs="Arial"/>
        </w:rPr>
        <w:t>Kur</w:t>
      </w:r>
      <w:r>
        <w:rPr>
          <w:rFonts w:ascii="Arial" w:hAnsi="Arial" w:cs="Arial"/>
        </w:rPr>
        <w:t xml:space="preserve">atorinnen und Organisatorinnen </w:t>
      </w:r>
      <w:r w:rsidR="007D4405">
        <w:rPr>
          <w:rFonts w:ascii="Arial" w:hAnsi="Arial" w:cs="Arial"/>
        </w:rPr>
        <w:t xml:space="preserve">des Projektes „BRÜCKEN SCHLAGEN“ </w:t>
      </w:r>
      <w:r>
        <w:rPr>
          <w:rFonts w:ascii="Arial" w:hAnsi="Arial" w:cs="Arial"/>
        </w:rPr>
        <w:t xml:space="preserve">sind </w:t>
      </w:r>
      <w:r w:rsidR="007D4405">
        <w:rPr>
          <w:rFonts w:ascii="Arial" w:hAnsi="Arial" w:cs="Arial"/>
        </w:rPr>
        <w:br/>
        <w:t xml:space="preserve">Ingrid Hornef und Annette Courtis. </w:t>
      </w:r>
      <w:r w:rsidR="007D4405" w:rsidRPr="007D4405">
        <w:rPr>
          <w:rFonts w:ascii="Arial" w:hAnsi="Arial" w:cs="Arial"/>
          <w:b/>
          <w:i/>
        </w:rPr>
        <w:t>ih&amp;ac</w:t>
      </w:r>
      <w:bookmarkStart w:id="0" w:name="_GoBack"/>
      <w:bookmarkEnd w:id="0"/>
    </w:p>
    <w:sectPr w:rsidR="00E86BEF" w:rsidRPr="000D0E83" w:rsidSect="001E79EE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50"/>
    <w:rsid w:val="00013CA3"/>
    <w:rsid w:val="00016E6D"/>
    <w:rsid w:val="00060111"/>
    <w:rsid w:val="000D0E83"/>
    <w:rsid w:val="000F5F74"/>
    <w:rsid w:val="00112AF1"/>
    <w:rsid w:val="00151BB8"/>
    <w:rsid w:val="001557A7"/>
    <w:rsid w:val="001A2632"/>
    <w:rsid w:val="001B36B1"/>
    <w:rsid w:val="001C4254"/>
    <w:rsid w:val="001E190D"/>
    <w:rsid w:val="001E79EE"/>
    <w:rsid w:val="00202728"/>
    <w:rsid w:val="0026188F"/>
    <w:rsid w:val="00280AE3"/>
    <w:rsid w:val="00295CDB"/>
    <w:rsid w:val="00296B07"/>
    <w:rsid w:val="002C31BD"/>
    <w:rsid w:val="002D15BF"/>
    <w:rsid w:val="003166C0"/>
    <w:rsid w:val="00344D7E"/>
    <w:rsid w:val="003455CD"/>
    <w:rsid w:val="00364FAA"/>
    <w:rsid w:val="00377195"/>
    <w:rsid w:val="003D087B"/>
    <w:rsid w:val="003D4A5C"/>
    <w:rsid w:val="003F4C8E"/>
    <w:rsid w:val="004247CC"/>
    <w:rsid w:val="0044231F"/>
    <w:rsid w:val="004626E9"/>
    <w:rsid w:val="004758F8"/>
    <w:rsid w:val="00492BDA"/>
    <w:rsid w:val="004A0933"/>
    <w:rsid w:val="004A2B86"/>
    <w:rsid w:val="004B0CC6"/>
    <w:rsid w:val="004D1BD5"/>
    <w:rsid w:val="004D1C71"/>
    <w:rsid w:val="004E4853"/>
    <w:rsid w:val="005100F5"/>
    <w:rsid w:val="0053763B"/>
    <w:rsid w:val="00541FA3"/>
    <w:rsid w:val="00550F4F"/>
    <w:rsid w:val="0056091B"/>
    <w:rsid w:val="005718D2"/>
    <w:rsid w:val="00573405"/>
    <w:rsid w:val="005A17F0"/>
    <w:rsid w:val="005F5848"/>
    <w:rsid w:val="00632DD8"/>
    <w:rsid w:val="006524B7"/>
    <w:rsid w:val="006527B4"/>
    <w:rsid w:val="006724E5"/>
    <w:rsid w:val="006726CA"/>
    <w:rsid w:val="0067634B"/>
    <w:rsid w:val="00687AAE"/>
    <w:rsid w:val="006A3134"/>
    <w:rsid w:val="006A4882"/>
    <w:rsid w:val="006A6892"/>
    <w:rsid w:val="006E0A29"/>
    <w:rsid w:val="00751FF0"/>
    <w:rsid w:val="00757EE2"/>
    <w:rsid w:val="00772B05"/>
    <w:rsid w:val="00776283"/>
    <w:rsid w:val="007B7747"/>
    <w:rsid w:val="007D365B"/>
    <w:rsid w:val="007D4405"/>
    <w:rsid w:val="007E2EF1"/>
    <w:rsid w:val="007F7890"/>
    <w:rsid w:val="00843A15"/>
    <w:rsid w:val="0085135A"/>
    <w:rsid w:val="008723F4"/>
    <w:rsid w:val="008776A3"/>
    <w:rsid w:val="00882BEB"/>
    <w:rsid w:val="00882C34"/>
    <w:rsid w:val="0089453E"/>
    <w:rsid w:val="008B1469"/>
    <w:rsid w:val="008B5B1C"/>
    <w:rsid w:val="008D0046"/>
    <w:rsid w:val="008E378E"/>
    <w:rsid w:val="008F635E"/>
    <w:rsid w:val="00920875"/>
    <w:rsid w:val="00920A61"/>
    <w:rsid w:val="00976C11"/>
    <w:rsid w:val="00985C54"/>
    <w:rsid w:val="009A1E90"/>
    <w:rsid w:val="00A06F50"/>
    <w:rsid w:val="00A25A23"/>
    <w:rsid w:val="00A52391"/>
    <w:rsid w:val="00A637BE"/>
    <w:rsid w:val="00AA0B44"/>
    <w:rsid w:val="00AB25DC"/>
    <w:rsid w:val="00AB642C"/>
    <w:rsid w:val="00AD76E3"/>
    <w:rsid w:val="00AF7DED"/>
    <w:rsid w:val="00B04BA1"/>
    <w:rsid w:val="00B2718C"/>
    <w:rsid w:val="00B458CA"/>
    <w:rsid w:val="00B947B4"/>
    <w:rsid w:val="00BA2628"/>
    <w:rsid w:val="00BB15DA"/>
    <w:rsid w:val="00C1375B"/>
    <w:rsid w:val="00C25BA5"/>
    <w:rsid w:val="00C32938"/>
    <w:rsid w:val="00C6720E"/>
    <w:rsid w:val="00C81426"/>
    <w:rsid w:val="00C81F07"/>
    <w:rsid w:val="00C872A1"/>
    <w:rsid w:val="00CB1AE9"/>
    <w:rsid w:val="00CD6B6F"/>
    <w:rsid w:val="00D37176"/>
    <w:rsid w:val="00D837E9"/>
    <w:rsid w:val="00D95B41"/>
    <w:rsid w:val="00DA08C3"/>
    <w:rsid w:val="00DC7BFD"/>
    <w:rsid w:val="00DF2877"/>
    <w:rsid w:val="00E3786D"/>
    <w:rsid w:val="00E43526"/>
    <w:rsid w:val="00E55CA3"/>
    <w:rsid w:val="00E56947"/>
    <w:rsid w:val="00E835F1"/>
    <w:rsid w:val="00E86BEF"/>
    <w:rsid w:val="00EC18ED"/>
    <w:rsid w:val="00EE6897"/>
    <w:rsid w:val="00EF5E37"/>
    <w:rsid w:val="00F058A8"/>
    <w:rsid w:val="00F17DF0"/>
    <w:rsid w:val="00F22C48"/>
    <w:rsid w:val="00F360F9"/>
    <w:rsid w:val="00F60195"/>
    <w:rsid w:val="00FA5B07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9E39"/>
  <w15:chartTrackingRefBased/>
  <w15:docId w15:val="{922C0A4D-9090-408B-9B83-8E84DAA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11"/>
    <w:rPr>
      <w:color w:val="0000FF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76C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ek">
    <w:name w:val="grek"/>
    <w:basedOn w:val="DefaultParagraphFont"/>
    <w:rsid w:val="00C872A1"/>
  </w:style>
  <w:style w:type="character" w:styleId="Strong">
    <w:name w:val="Strong"/>
    <w:basedOn w:val="DefaultParagraphFont"/>
    <w:uiPriority w:val="22"/>
    <w:qFormat/>
    <w:rsid w:val="00652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2556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Courtis</dc:creator>
  <cp:keywords/>
  <dc:description/>
  <cp:lastModifiedBy>Microsoft account</cp:lastModifiedBy>
  <cp:revision>2</cp:revision>
  <cp:lastPrinted>2021-09-30T11:55:00Z</cp:lastPrinted>
  <dcterms:created xsi:type="dcterms:W3CDTF">2022-06-28T16:10:00Z</dcterms:created>
  <dcterms:modified xsi:type="dcterms:W3CDTF">2022-06-28T16:10:00Z</dcterms:modified>
</cp:coreProperties>
</file>