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70" w:rsidRDefault="009F1770">
      <w:bookmarkStart w:id="0" w:name="_GoBack"/>
      <w:bookmarkEnd w:id="0"/>
    </w:p>
    <w:tbl>
      <w:tblPr>
        <w:tblpPr w:leftFromText="187" w:rightFromText="187" w:bottomFromText="720" w:horzAnchor="page" w:tblpXSpec="center" w:tblpYSpec="bottom"/>
        <w:tblW w:w="9974" w:type="pct"/>
        <w:tblCellMar>
          <w:left w:w="288" w:type="dxa"/>
          <w:right w:w="288" w:type="dxa"/>
        </w:tblCellMar>
        <w:tblLook w:val="00A0" w:firstRow="1" w:lastRow="0" w:firstColumn="1" w:lastColumn="0" w:noHBand="0" w:noVBand="0"/>
      </w:tblPr>
      <w:tblGrid>
        <w:gridCol w:w="10148"/>
        <w:gridCol w:w="63"/>
      </w:tblGrid>
      <w:tr w:rsidR="009F1770" w:rsidRPr="00DF61D9" w:rsidTr="00E04A4F">
        <w:trPr>
          <w:gridAfter w:val="1"/>
          <w:wAfter w:w="63" w:type="dxa"/>
        </w:trPr>
        <w:tc>
          <w:tcPr>
            <w:tcW w:w="10148" w:type="dxa"/>
          </w:tcPr>
          <w:p w:rsidR="009F1770" w:rsidRPr="00DF61D9" w:rsidRDefault="009F1770" w:rsidP="007435B2">
            <w:pPr>
              <w:pStyle w:val="Titolo"/>
              <w:jc w:val="center"/>
              <w:rPr>
                <w:sz w:val="48"/>
                <w:szCs w:val="48"/>
              </w:rPr>
            </w:pPr>
            <w:r w:rsidRPr="00DF61D9">
              <w:rPr>
                <w:rFonts w:ascii="Times New Roman" w:hAnsi="Times New Roman"/>
                <w:b/>
                <w:sz w:val="48"/>
                <w:szCs w:val="48"/>
              </w:rPr>
              <w:t>OSSERVAZIONI DEL GRUPPO DI RICERCA DEL TAVOLO BASTA VELENI allo studio di Gian Paolo Beretta</w:t>
            </w:r>
            <w:proofErr w:type="gramStart"/>
            <w:r w:rsidRPr="00DF61D9">
              <w:rPr>
                <w:rFonts w:ascii="Times New Roman" w:hAnsi="Times New Roman"/>
                <w:b/>
                <w:sz w:val="48"/>
                <w:szCs w:val="48"/>
              </w:rPr>
              <w:t xml:space="preserve">  </w:t>
            </w:r>
            <w:proofErr w:type="gramEnd"/>
            <w:r w:rsidRPr="00DF61D9">
              <w:rPr>
                <w:rFonts w:ascii="Times New Roman" w:hAnsi="Times New Roman"/>
                <w:b/>
                <w:sz w:val="48"/>
                <w:szCs w:val="48"/>
              </w:rPr>
              <w:t>e Stefano Consonni, “Ruolo del termoutilizzatore di Brescia nel contesto energetico-ambientale del Comune di Brescia”, 8 gennaio 2018</w:t>
            </w:r>
          </w:p>
        </w:tc>
      </w:tr>
      <w:tr w:rsidR="009F1770" w:rsidRPr="00DF61D9" w:rsidTr="00E04A4F">
        <w:tc>
          <w:tcPr>
            <w:tcW w:w="10211" w:type="dxa"/>
            <w:gridSpan w:val="2"/>
            <w:vAlign w:val="bottom"/>
          </w:tcPr>
          <w:p w:rsidR="009F1770" w:rsidRPr="00DF61D9" w:rsidRDefault="009F1770" w:rsidP="007435B2">
            <w:pPr>
              <w:pStyle w:val="Sottotitolo"/>
              <w:jc w:val="center"/>
              <w:rPr>
                <w:sz w:val="36"/>
                <w:szCs w:val="36"/>
              </w:rPr>
            </w:pPr>
            <w:r>
              <w:rPr>
                <w:rFonts w:ascii="Times New Roman" w:hAnsi="Times New Roman"/>
                <w:b/>
                <w:iCs w:val="0"/>
                <w:color w:val="auto"/>
                <w:spacing w:val="0"/>
                <w:sz w:val="28"/>
                <w:szCs w:val="28"/>
              </w:rPr>
              <w:t xml:space="preserve">     </w:t>
            </w:r>
          </w:p>
        </w:tc>
      </w:tr>
      <w:tr w:rsidR="009F1770" w:rsidRPr="00DF61D9" w:rsidTr="00E04A4F">
        <w:tc>
          <w:tcPr>
            <w:tcW w:w="10211" w:type="dxa"/>
            <w:gridSpan w:val="2"/>
            <w:vAlign w:val="bottom"/>
          </w:tcPr>
          <w:p w:rsidR="009F1770" w:rsidRPr="00DF61D9" w:rsidRDefault="009F1770"/>
        </w:tc>
      </w:tr>
      <w:tr w:rsidR="009F1770" w:rsidRPr="00DF61D9" w:rsidTr="00E04A4F">
        <w:tc>
          <w:tcPr>
            <w:tcW w:w="10211" w:type="dxa"/>
            <w:gridSpan w:val="2"/>
            <w:vAlign w:val="bottom"/>
          </w:tcPr>
          <w:p w:rsidR="009F1770" w:rsidRPr="00DF61D9" w:rsidRDefault="009F1770" w:rsidP="007435B2">
            <w:pPr>
              <w:jc w:val="center"/>
              <w:rPr>
                <w:sz w:val="48"/>
                <w:szCs w:val="48"/>
              </w:rPr>
            </w:pPr>
            <w:r w:rsidRPr="00DF61D9">
              <w:rPr>
                <w:sz w:val="48"/>
                <w:szCs w:val="48"/>
              </w:rPr>
              <w:t>Brescia</w:t>
            </w:r>
            <w:proofErr w:type="gramStart"/>
            <w:r w:rsidRPr="00DF61D9">
              <w:rPr>
                <w:sz w:val="48"/>
                <w:szCs w:val="48"/>
              </w:rPr>
              <w:t>,</w:t>
            </w:r>
            <w:proofErr w:type="gramEnd"/>
            <w:r w:rsidRPr="00DF61D9">
              <w:rPr>
                <w:sz w:val="48"/>
                <w:szCs w:val="48"/>
              </w:rPr>
              <w:t>versione.1.2 del 02.02.18</w:t>
            </w:r>
          </w:p>
        </w:tc>
      </w:tr>
      <w:tr w:rsidR="009F1770" w:rsidRPr="00DF61D9" w:rsidTr="00E04A4F">
        <w:tc>
          <w:tcPr>
            <w:tcW w:w="10211" w:type="dxa"/>
            <w:gridSpan w:val="2"/>
            <w:vAlign w:val="bottom"/>
          </w:tcPr>
          <w:p w:rsidR="009F1770" w:rsidRPr="00DF61D9" w:rsidRDefault="009F1770" w:rsidP="006E7242">
            <w:pPr>
              <w:jc w:val="center"/>
            </w:pPr>
            <w:r w:rsidRPr="00DF61D9">
              <w:t xml:space="preserve">Le osservazioni sono state condotte sull’unico documento ufficiale distribuito al pubblico: diapositive. </w:t>
            </w:r>
            <w:proofErr w:type="gramStart"/>
            <w:r w:rsidRPr="00DF61D9">
              <w:t>Ad</w:t>
            </w:r>
            <w:proofErr w:type="gramEnd"/>
            <w:r w:rsidRPr="00DF61D9">
              <w:t xml:space="preserve"> oggi non risulta essere stato depositato un documento completo</w:t>
            </w:r>
          </w:p>
        </w:tc>
      </w:tr>
    </w:tbl>
    <w:p w:rsidR="009F1770" w:rsidRDefault="009F1770">
      <w:pPr>
        <w:rPr>
          <w:rFonts w:ascii="Century Gothic" w:hAnsi="Century Gothic"/>
          <w:color w:val="2F5897"/>
          <w:spacing w:val="5"/>
          <w:kern w:val="28"/>
          <w:sz w:val="96"/>
          <w:szCs w:val="96"/>
        </w:rPr>
      </w:pPr>
      <w:r>
        <w:rPr>
          <w:rFonts w:ascii="Century Gothic" w:hAnsi="Century Gothic"/>
          <w:color w:val="2F5897"/>
          <w:spacing w:val="5"/>
          <w:kern w:val="28"/>
          <w:sz w:val="96"/>
          <w:szCs w:val="96"/>
        </w:rPr>
        <w:br w:type="page"/>
      </w:r>
    </w:p>
    <w:p w:rsidR="009F1770" w:rsidRPr="00B523D2" w:rsidRDefault="009F1770">
      <w:pPr>
        <w:pStyle w:val="Titolo"/>
        <w:rPr>
          <w:sz w:val="36"/>
          <w:szCs w:val="36"/>
        </w:rPr>
      </w:pPr>
      <w:r>
        <w:rPr>
          <w:b/>
          <w:sz w:val="36"/>
          <w:szCs w:val="36"/>
        </w:rPr>
        <w:lastRenderedPageBreak/>
        <w:t>OSSERVAZIONI DEL GRUPPO DI RICERCA DEL TAVOLO BASTA VELENI allo studio di Gian Paolo Beretta</w:t>
      </w:r>
      <w:proofErr w:type="gramStart"/>
      <w:r>
        <w:rPr>
          <w:b/>
          <w:sz w:val="36"/>
          <w:szCs w:val="36"/>
        </w:rPr>
        <w:t xml:space="preserve">  </w:t>
      </w:r>
      <w:proofErr w:type="gramEnd"/>
      <w:r>
        <w:rPr>
          <w:b/>
          <w:sz w:val="36"/>
          <w:szCs w:val="36"/>
        </w:rPr>
        <w:t>e Stefano Consonni, “Ruolo del termoutilizzatore di Brescia nel contesto energetico-ambientale del Comune di Brescia”, 8 gennaio 2018</w:t>
      </w:r>
    </w:p>
    <w:p w:rsidR="009F1770" w:rsidRDefault="009F1770"/>
    <w:p w:rsidR="009F1770" w:rsidRPr="000F2ED3" w:rsidRDefault="009F1770" w:rsidP="005743D7">
      <w:pPr>
        <w:jc w:val="both"/>
        <w:rPr>
          <w:rFonts w:ascii="Century Gothic" w:hAnsi="Century Gothic"/>
          <w:sz w:val="20"/>
          <w:szCs w:val="20"/>
        </w:rPr>
      </w:pPr>
      <w:r>
        <w:rPr>
          <w:rFonts w:ascii="Century Gothic" w:hAnsi="Century Gothic"/>
          <w:sz w:val="20"/>
          <w:szCs w:val="20"/>
        </w:rPr>
        <w:t xml:space="preserve">Le osservazioni sono state redatte in base al materiale disponibile: le diapositive di presentazione al pubblico dello studio. </w:t>
      </w:r>
      <w:r w:rsidRPr="000F2ED3">
        <w:rPr>
          <w:rFonts w:ascii="Century Gothic" w:hAnsi="Century Gothic"/>
          <w:sz w:val="20"/>
          <w:szCs w:val="20"/>
        </w:rPr>
        <w:t xml:space="preserve">Il Comune di Brescia, settore protezione ambientale e </w:t>
      </w:r>
      <w:proofErr w:type="gramStart"/>
      <w:r w:rsidRPr="000F2ED3">
        <w:rPr>
          <w:rFonts w:ascii="Century Gothic" w:hAnsi="Century Gothic"/>
          <w:sz w:val="20"/>
          <w:szCs w:val="20"/>
        </w:rPr>
        <w:t>protezione</w:t>
      </w:r>
      <w:proofErr w:type="gramEnd"/>
      <w:r w:rsidRPr="000F2ED3">
        <w:rPr>
          <w:rFonts w:ascii="Century Gothic" w:hAnsi="Century Gothic"/>
          <w:sz w:val="20"/>
          <w:szCs w:val="20"/>
        </w:rPr>
        <w:t xml:space="preserve"> civile, ha commissionato all’Università di Brescia e al Politecnico di Milano, nelle persone dei Proff. Consonni e Beretta, uno studio.</w:t>
      </w:r>
    </w:p>
    <w:p w:rsidR="009F1770" w:rsidRPr="000F2ED3" w:rsidRDefault="009F1770" w:rsidP="005743D7">
      <w:pPr>
        <w:jc w:val="both"/>
        <w:rPr>
          <w:rFonts w:ascii="Century Gothic" w:hAnsi="Century Gothic"/>
          <w:sz w:val="20"/>
          <w:szCs w:val="20"/>
        </w:rPr>
      </w:pPr>
      <w:r>
        <w:rPr>
          <w:rFonts w:ascii="Century Gothic" w:hAnsi="Century Gothic"/>
          <w:sz w:val="20"/>
          <w:szCs w:val="20"/>
        </w:rPr>
        <w:t>Esso</w:t>
      </w:r>
      <w:r w:rsidRPr="000F2ED3">
        <w:rPr>
          <w:rFonts w:ascii="Century Gothic" w:hAnsi="Century Gothic"/>
          <w:sz w:val="20"/>
          <w:szCs w:val="20"/>
        </w:rPr>
        <w:t xml:space="preserve"> doveva valutare la configurazione attuale dei fabbisogni energetici del Comune </w:t>
      </w:r>
      <w:proofErr w:type="gramStart"/>
      <w:r w:rsidRPr="000F2ED3">
        <w:rPr>
          <w:rFonts w:ascii="Century Gothic" w:hAnsi="Century Gothic"/>
          <w:sz w:val="20"/>
          <w:szCs w:val="20"/>
        </w:rPr>
        <w:t>di</w:t>
      </w:r>
      <w:proofErr w:type="gramEnd"/>
      <w:r w:rsidRPr="000F2ED3">
        <w:rPr>
          <w:rFonts w:ascii="Century Gothic" w:hAnsi="Century Gothic"/>
          <w:sz w:val="20"/>
          <w:szCs w:val="20"/>
        </w:rPr>
        <w:t xml:space="preserve"> Brescia, e di possibili scenari evolutivi, tenendo conto della possibilità di riduzione funzionale dell’inceneritore.</w:t>
      </w:r>
    </w:p>
    <w:p w:rsidR="009F1770" w:rsidRDefault="009F1770" w:rsidP="005743D7">
      <w:pPr>
        <w:jc w:val="both"/>
        <w:rPr>
          <w:rFonts w:ascii="Century Gothic" w:hAnsi="Century Gothic"/>
          <w:sz w:val="20"/>
          <w:szCs w:val="20"/>
        </w:rPr>
      </w:pPr>
      <w:r w:rsidRPr="000F2ED3">
        <w:rPr>
          <w:rFonts w:ascii="Century Gothic" w:hAnsi="Century Gothic"/>
          <w:sz w:val="20"/>
          <w:szCs w:val="20"/>
        </w:rPr>
        <w:t xml:space="preserve">Gli estensori hanno preso uno scenario di riferimento, infine </w:t>
      </w:r>
      <w:proofErr w:type="gramStart"/>
      <w:r w:rsidRPr="000F2ED3">
        <w:rPr>
          <w:rFonts w:ascii="Century Gothic" w:hAnsi="Century Gothic"/>
          <w:sz w:val="20"/>
          <w:szCs w:val="20"/>
        </w:rPr>
        <w:t>4</w:t>
      </w:r>
      <w:proofErr w:type="gramEnd"/>
      <w:r w:rsidRPr="000F2ED3">
        <w:rPr>
          <w:rFonts w:ascii="Century Gothic" w:hAnsi="Century Gothic"/>
          <w:sz w:val="20"/>
          <w:szCs w:val="20"/>
        </w:rPr>
        <w:t xml:space="preserve"> scenari evolutivi, tutti valutati nella duplice ipotesi di ampliamento o non ampliamento della rete ai sei comuni</w:t>
      </w:r>
      <w:r>
        <w:rPr>
          <w:rFonts w:ascii="Century Gothic" w:hAnsi="Century Gothic"/>
          <w:sz w:val="20"/>
          <w:szCs w:val="20"/>
        </w:rPr>
        <w:t xml:space="preserve"> dell’hinterland.</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640"/>
        <w:gridCol w:w="624"/>
        <w:gridCol w:w="624"/>
        <w:gridCol w:w="624"/>
      </w:tblGrid>
      <w:tr w:rsidR="009F1770" w:rsidRPr="00DF61D9" w:rsidTr="00DF61D9">
        <w:trPr>
          <w:jc w:val="center"/>
        </w:trPr>
        <w:tc>
          <w:tcPr>
            <w:tcW w:w="1960" w:type="dxa"/>
          </w:tcPr>
          <w:p w:rsidR="009F1770" w:rsidRPr="00DF61D9" w:rsidRDefault="009F1770" w:rsidP="00DF61D9">
            <w:pPr>
              <w:spacing w:after="0" w:line="240" w:lineRule="auto"/>
              <w:jc w:val="both"/>
              <w:rPr>
                <w:rFonts w:ascii="Century Gothic" w:hAnsi="Century Gothic"/>
                <w:b/>
                <w:color w:val="0070C0"/>
                <w:sz w:val="20"/>
                <w:szCs w:val="20"/>
              </w:rPr>
            </w:pPr>
            <w:r w:rsidRPr="00DF61D9">
              <w:rPr>
                <w:rFonts w:ascii="Century Gothic" w:hAnsi="Century Gothic"/>
                <w:b/>
                <w:color w:val="0070C0"/>
                <w:sz w:val="20"/>
                <w:szCs w:val="20"/>
              </w:rPr>
              <w:t>Scenari</w:t>
            </w:r>
          </w:p>
        </w:tc>
        <w:tc>
          <w:tcPr>
            <w:tcW w:w="640" w:type="dxa"/>
          </w:tcPr>
          <w:p w:rsidR="009F1770" w:rsidRPr="00DF61D9" w:rsidRDefault="009F1770" w:rsidP="00DF61D9">
            <w:pPr>
              <w:spacing w:after="0" w:line="240" w:lineRule="auto"/>
              <w:jc w:val="center"/>
              <w:rPr>
                <w:rFonts w:ascii="Century Gothic" w:hAnsi="Century Gothic"/>
                <w:b/>
                <w:color w:val="0070C0"/>
                <w:sz w:val="20"/>
                <w:szCs w:val="20"/>
              </w:rPr>
            </w:pPr>
            <w:r w:rsidRPr="00DF61D9">
              <w:rPr>
                <w:rFonts w:ascii="Century Gothic" w:hAnsi="Century Gothic"/>
                <w:b/>
                <w:color w:val="0070C0"/>
                <w:sz w:val="20"/>
                <w:szCs w:val="20"/>
              </w:rPr>
              <w:t>0</w:t>
            </w:r>
          </w:p>
        </w:tc>
        <w:tc>
          <w:tcPr>
            <w:tcW w:w="624" w:type="dxa"/>
          </w:tcPr>
          <w:p w:rsidR="009F1770" w:rsidRPr="00DF61D9" w:rsidRDefault="009F1770" w:rsidP="00DF61D9">
            <w:pPr>
              <w:spacing w:after="0" w:line="240" w:lineRule="auto"/>
              <w:jc w:val="center"/>
              <w:rPr>
                <w:rFonts w:ascii="Century Gothic" w:hAnsi="Century Gothic"/>
                <w:b/>
                <w:color w:val="0070C0"/>
                <w:sz w:val="20"/>
                <w:szCs w:val="20"/>
              </w:rPr>
            </w:pPr>
            <w:r w:rsidRPr="00DF61D9">
              <w:rPr>
                <w:rFonts w:ascii="Century Gothic" w:hAnsi="Century Gothic"/>
                <w:b/>
                <w:color w:val="0070C0"/>
                <w:sz w:val="20"/>
                <w:szCs w:val="20"/>
              </w:rPr>
              <w:t>A</w:t>
            </w:r>
          </w:p>
        </w:tc>
        <w:tc>
          <w:tcPr>
            <w:tcW w:w="624" w:type="dxa"/>
          </w:tcPr>
          <w:p w:rsidR="009F1770" w:rsidRPr="00DF61D9" w:rsidRDefault="009F1770" w:rsidP="00DF61D9">
            <w:pPr>
              <w:spacing w:after="0" w:line="240" w:lineRule="auto"/>
              <w:jc w:val="center"/>
              <w:rPr>
                <w:rFonts w:ascii="Century Gothic" w:hAnsi="Century Gothic"/>
                <w:b/>
                <w:color w:val="0070C0"/>
                <w:sz w:val="20"/>
                <w:szCs w:val="20"/>
              </w:rPr>
            </w:pPr>
            <w:r w:rsidRPr="00DF61D9">
              <w:rPr>
                <w:rFonts w:ascii="Century Gothic" w:hAnsi="Century Gothic"/>
                <w:b/>
                <w:color w:val="0070C0"/>
                <w:sz w:val="20"/>
                <w:szCs w:val="20"/>
              </w:rPr>
              <w:t>B</w:t>
            </w:r>
          </w:p>
        </w:tc>
        <w:tc>
          <w:tcPr>
            <w:tcW w:w="624" w:type="dxa"/>
          </w:tcPr>
          <w:p w:rsidR="009F1770" w:rsidRPr="00DF61D9" w:rsidRDefault="009F1770" w:rsidP="00DF61D9">
            <w:pPr>
              <w:spacing w:after="0" w:line="240" w:lineRule="auto"/>
              <w:jc w:val="center"/>
              <w:rPr>
                <w:rFonts w:ascii="Century Gothic" w:hAnsi="Century Gothic"/>
                <w:b/>
                <w:color w:val="0070C0"/>
                <w:sz w:val="20"/>
                <w:szCs w:val="20"/>
              </w:rPr>
            </w:pPr>
            <w:r w:rsidRPr="00DF61D9">
              <w:rPr>
                <w:rFonts w:ascii="Century Gothic" w:hAnsi="Century Gothic"/>
                <w:b/>
                <w:color w:val="0070C0"/>
                <w:sz w:val="20"/>
                <w:szCs w:val="20"/>
              </w:rPr>
              <w:t>C</w:t>
            </w:r>
          </w:p>
        </w:tc>
      </w:tr>
      <w:tr w:rsidR="009F1770" w:rsidRPr="00DF61D9" w:rsidTr="00DF61D9">
        <w:trPr>
          <w:jc w:val="center"/>
        </w:trPr>
        <w:tc>
          <w:tcPr>
            <w:tcW w:w="1960" w:type="dxa"/>
          </w:tcPr>
          <w:p w:rsidR="009F1770" w:rsidRPr="00DF61D9" w:rsidRDefault="009F1770" w:rsidP="00DF61D9">
            <w:pPr>
              <w:spacing w:after="0" w:line="240" w:lineRule="auto"/>
              <w:jc w:val="both"/>
              <w:rPr>
                <w:rFonts w:ascii="Century Gothic" w:hAnsi="Century Gothic"/>
                <w:b/>
                <w:i/>
                <w:sz w:val="20"/>
                <w:szCs w:val="20"/>
              </w:rPr>
            </w:pPr>
            <w:r w:rsidRPr="00DF61D9">
              <w:rPr>
                <w:rFonts w:ascii="Century Gothic" w:hAnsi="Century Gothic"/>
                <w:b/>
                <w:i/>
                <w:sz w:val="20"/>
                <w:szCs w:val="20"/>
              </w:rPr>
              <w:t>Accumuli termici aggiuntivi</w:t>
            </w:r>
          </w:p>
        </w:tc>
        <w:tc>
          <w:tcPr>
            <w:tcW w:w="640"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c>
          <w:tcPr>
            <w:tcW w:w="624"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c>
          <w:tcPr>
            <w:tcW w:w="624"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c>
          <w:tcPr>
            <w:tcW w:w="624"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r>
      <w:tr w:rsidR="009F1770" w:rsidRPr="00DF61D9" w:rsidTr="00DF61D9">
        <w:trPr>
          <w:jc w:val="center"/>
        </w:trPr>
        <w:tc>
          <w:tcPr>
            <w:tcW w:w="1960" w:type="dxa"/>
          </w:tcPr>
          <w:p w:rsidR="009F1770" w:rsidRPr="00DF61D9" w:rsidRDefault="009F1770" w:rsidP="00DF61D9">
            <w:pPr>
              <w:spacing w:after="0" w:line="240" w:lineRule="auto"/>
              <w:jc w:val="both"/>
              <w:rPr>
                <w:rFonts w:ascii="Century Gothic" w:hAnsi="Century Gothic"/>
                <w:b/>
                <w:i/>
                <w:sz w:val="20"/>
                <w:szCs w:val="20"/>
              </w:rPr>
            </w:pPr>
            <w:r w:rsidRPr="00DF61D9">
              <w:rPr>
                <w:rFonts w:ascii="Century Gothic" w:hAnsi="Century Gothic"/>
                <w:b/>
                <w:i/>
                <w:sz w:val="20"/>
                <w:szCs w:val="20"/>
              </w:rPr>
              <w:t>Mix innovazioni</w:t>
            </w:r>
          </w:p>
        </w:tc>
        <w:tc>
          <w:tcPr>
            <w:tcW w:w="640"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roofErr w:type="gramStart"/>
            <w:r w:rsidRPr="00DF61D9">
              <w:rPr>
                <w:rFonts w:ascii="Century Gothic" w:hAnsi="Century Gothic"/>
                <w:sz w:val="20"/>
                <w:szCs w:val="20"/>
              </w:rPr>
              <w:t>si</w:t>
            </w:r>
            <w:proofErr w:type="gramEnd"/>
          </w:p>
        </w:tc>
        <w:tc>
          <w:tcPr>
            <w:tcW w:w="624"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c>
          <w:tcPr>
            <w:tcW w:w="624" w:type="dxa"/>
          </w:tcPr>
          <w:p w:rsidR="009F1770" w:rsidRPr="00DF61D9" w:rsidRDefault="009F1770" w:rsidP="00DF61D9">
            <w:pPr>
              <w:spacing w:after="0" w:line="240" w:lineRule="auto"/>
              <w:jc w:val="center"/>
              <w:rPr>
                <w:rFonts w:ascii="Century Gothic" w:hAnsi="Century Gothic"/>
                <w:sz w:val="20"/>
                <w:szCs w:val="20"/>
              </w:rPr>
            </w:pPr>
            <w:r w:rsidRPr="00DF61D9">
              <w:rPr>
                <w:rFonts w:ascii="Century Gothic" w:hAnsi="Century Gothic"/>
                <w:sz w:val="20"/>
                <w:szCs w:val="20"/>
              </w:rPr>
              <w:t>Si</w:t>
            </w:r>
          </w:p>
        </w:tc>
      </w:tr>
      <w:tr w:rsidR="009F1770" w:rsidRPr="00DF61D9" w:rsidTr="00DF61D9">
        <w:trPr>
          <w:jc w:val="center"/>
        </w:trPr>
        <w:tc>
          <w:tcPr>
            <w:tcW w:w="1960" w:type="dxa"/>
          </w:tcPr>
          <w:p w:rsidR="009F1770" w:rsidRPr="00DF61D9" w:rsidRDefault="009F1770" w:rsidP="00DF61D9">
            <w:pPr>
              <w:spacing w:after="0" w:line="240" w:lineRule="auto"/>
              <w:jc w:val="both"/>
              <w:rPr>
                <w:rFonts w:ascii="Century Gothic" w:hAnsi="Century Gothic"/>
                <w:b/>
                <w:i/>
                <w:sz w:val="20"/>
                <w:szCs w:val="20"/>
              </w:rPr>
            </w:pPr>
            <w:r w:rsidRPr="00DF61D9">
              <w:rPr>
                <w:rFonts w:ascii="Century Gothic" w:hAnsi="Century Gothic"/>
                <w:b/>
                <w:i/>
                <w:sz w:val="20"/>
                <w:szCs w:val="20"/>
              </w:rPr>
              <w:t>Chiusura 3° linea inceneritore</w:t>
            </w:r>
          </w:p>
        </w:tc>
        <w:tc>
          <w:tcPr>
            <w:tcW w:w="640"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roofErr w:type="gramStart"/>
            <w:r w:rsidRPr="00DF61D9">
              <w:rPr>
                <w:rFonts w:ascii="Century Gothic" w:hAnsi="Century Gothic"/>
                <w:sz w:val="20"/>
                <w:szCs w:val="20"/>
              </w:rPr>
              <w:t>si</w:t>
            </w:r>
            <w:proofErr w:type="gramEnd"/>
          </w:p>
        </w:tc>
        <w:tc>
          <w:tcPr>
            <w:tcW w:w="624" w:type="dxa"/>
          </w:tcPr>
          <w:p w:rsidR="009F1770" w:rsidRPr="00DF61D9" w:rsidRDefault="009F1770" w:rsidP="00DF61D9">
            <w:pPr>
              <w:spacing w:after="0" w:line="240" w:lineRule="auto"/>
              <w:jc w:val="center"/>
              <w:rPr>
                <w:rFonts w:ascii="Century Gothic" w:hAnsi="Century Gothic"/>
                <w:sz w:val="20"/>
                <w:szCs w:val="20"/>
              </w:rPr>
            </w:pPr>
          </w:p>
        </w:tc>
      </w:tr>
      <w:tr w:rsidR="009F1770" w:rsidRPr="00DF61D9" w:rsidTr="00DF61D9">
        <w:trPr>
          <w:jc w:val="center"/>
        </w:trPr>
        <w:tc>
          <w:tcPr>
            <w:tcW w:w="1960" w:type="dxa"/>
          </w:tcPr>
          <w:p w:rsidR="009F1770" w:rsidRPr="00DF61D9" w:rsidRDefault="009F1770" w:rsidP="00DF61D9">
            <w:pPr>
              <w:spacing w:after="0" w:line="240" w:lineRule="auto"/>
              <w:jc w:val="both"/>
              <w:rPr>
                <w:rFonts w:ascii="Century Gothic" w:hAnsi="Century Gothic"/>
                <w:b/>
                <w:i/>
                <w:sz w:val="20"/>
                <w:szCs w:val="20"/>
              </w:rPr>
            </w:pPr>
            <w:r w:rsidRPr="00DF61D9">
              <w:rPr>
                <w:rFonts w:ascii="Century Gothic" w:hAnsi="Century Gothic"/>
                <w:b/>
                <w:i/>
                <w:sz w:val="20"/>
                <w:szCs w:val="20"/>
              </w:rPr>
              <w:t>Chiusura GR3 Lamarmora</w:t>
            </w:r>
          </w:p>
        </w:tc>
        <w:tc>
          <w:tcPr>
            <w:tcW w:w="640"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
        </w:tc>
        <w:tc>
          <w:tcPr>
            <w:tcW w:w="624" w:type="dxa"/>
          </w:tcPr>
          <w:p w:rsidR="009F1770" w:rsidRPr="00DF61D9" w:rsidRDefault="009F1770" w:rsidP="00DF61D9">
            <w:pPr>
              <w:spacing w:after="0" w:line="240" w:lineRule="auto"/>
              <w:jc w:val="center"/>
              <w:rPr>
                <w:rFonts w:ascii="Century Gothic" w:hAnsi="Century Gothic"/>
                <w:sz w:val="20"/>
                <w:szCs w:val="20"/>
              </w:rPr>
            </w:pPr>
            <w:proofErr w:type="gramStart"/>
            <w:r w:rsidRPr="00DF61D9">
              <w:rPr>
                <w:rFonts w:ascii="Century Gothic" w:hAnsi="Century Gothic"/>
                <w:sz w:val="20"/>
                <w:szCs w:val="20"/>
              </w:rPr>
              <w:t>si</w:t>
            </w:r>
            <w:proofErr w:type="gramEnd"/>
          </w:p>
        </w:tc>
      </w:tr>
    </w:tbl>
    <w:p w:rsidR="009F1770" w:rsidRDefault="009F1770" w:rsidP="005743D7">
      <w:pPr>
        <w:jc w:val="both"/>
        <w:rPr>
          <w:rFonts w:ascii="Century Gothic" w:hAnsi="Century Gothic"/>
          <w:sz w:val="20"/>
          <w:szCs w:val="20"/>
        </w:rPr>
      </w:pPr>
      <w:r w:rsidRPr="000F2ED3">
        <w:rPr>
          <w:rFonts w:ascii="Century Gothic" w:hAnsi="Century Gothic"/>
          <w:sz w:val="20"/>
          <w:szCs w:val="20"/>
        </w:rPr>
        <w:t xml:space="preserve">   </w:t>
      </w:r>
    </w:p>
    <w:p w:rsidR="009F1770" w:rsidRPr="000F2ED3" w:rsidRDefault="009F1770" w:rsidP="005743D7">
      <w:pPr>
        <w:jc w:val="both"/>
        <w:rPr>
          <w:rFonts w:ascii="Century Gothic" w:hAnsi="Century Gothic"/>
          <w:sz w:val="20"/>
          <w:szCs w:val="20"/>
        </w:rPr>
      </w:pPr>
      <w:r>
        <w:rPr>
          <w:rFonts w:ascii="Century Gothic" w:hAnsi="Century Gothic"/>
          <w:sz w:val="20"/>
          <w:szCs w:val="20"/>
        </w:rPr>
        <w:t xml:space="preserve">Il mix </w:t>
      </w:r>
      <w:proofErr w:type="gramStart"/>
      <w:r>
        <w:rPr>
          <w:rFonts w:ascii="Century Gothic" w:hAnsi="Century Gothic"/>
          <w:sz w:val="20"/>
          <w:szCs w:val="20"/>
        </w:rPr>
        <w:t xml:space="preserve">di </w:t>
      </w:r>
      <w:proofErr w:type="gramEnd"/>
      <w:r>
        <w:rPr>
          <w:rFonts w:ascii="Century Gothic" w:hAnsi="Century Gothic"/>
          <w:sz w:val="20"/>
          <w:szCs w:val="20"/>
        </w:rPr>
        <w:t xml:space="preserve">innovazioni previsto è costituito da pompe di calore centralizzate su impianti di A2A, un impianto solare termico di </w:t>
      </w:r>
      <w:smartTag w:uri="urn:schemas-microsoft-com:office:smarttags" w:element="metricconverter">
        <w:smartTagPr>
          <w:attr w:name="ProductID" w:val="10.000 m2"/>
        </w:smartTagPr>
        <w:r>
          <w:rPr>
            <w:rFonts w:ascii="Century Gothic" w:hAnsi="Century Gothic"/>
            <w:sz w:val="20"/>
            <w:szCs w:val="20"/>
          </w:rPr>
          <w:t>10.000 m2</w:t>
        </w:r>
      </w:smartTag>
      <w:r>
        <w:rPr>
          <w:rFonts w:ascii="Century Gothic" w:hAnsi="Century Gothic"/>
          <w:sz w:val="20"/>
          <w:szCs w:val="20"/>
        </w:rPr>
        <w:t xml:space="preserve">, nuovi recuperi di calore industriale. </w:t>
      </w:r>
    </w:p>
    <w:p w:rsidR="009F1770" w:rsidRPr="005743D7" w:rsidRDefault="009F1770" w:rsidP="005743D7">
      <w:pPr>
        <w:pStyle w:val="Titolo3"/>
      </w:pPr>
      <w:r>
        <w:t>1.</w:t>
      </w:r>
      <w:proofErr w:type="gramStart"/>
      <w:r>
        <w:t>Osservazioni</w:t>
      </w:r>
      <w:proofErr w:type="gramEnd"/>
      <w:r>
        <w:t xml:space="preserve"> metodologiche</w:t>
      </w:r>
    </w:p>
    <w:p w:rsidR="009F1770" w:rsidRDefault="009F1770"/>
    <w:p w:rsidR="009F1770" w:rsidRDefault="009F1770" w:rsidP="005743D7">
      <w:pPr>
        <w:jc w:val="both"/>
        <w:rPr>
          <w:rFonts w:ascii="Century Gothic" w:hAnsi="Century Gothic"/>
          <w:sz w:val="20"/>
          <w:szCs w:val="20"/>
        </w:rPr>
      </w:pPr>
      <w:r w:rsidRPr="005743D7">
        <w:rPr>
          <w:rFonts w:ascii="Century Gothic" w:hAnsi="Century Gothic"/>
          <w:sz w:val="20"/>
          <w:szCs w:val="20"/>
        </w:rPr>
        <w:t>Mentre l’obiettivo dello studio</w:t>
      </w:r>
      <w:r>
        <w:rPr>
          <w:rFonts w:ascii="Century Gothic" w:hAnsi="Century Gothic"/>
          <w:sz w:val="20"/>
          <w:szCs w:val="20"/>
        </w:rPr>
        <w:t xml:space="preserve"> dichiarato nel titolo sembra essere l’analisi del </w:t>
      </w:r>
      <w:proofErr w:type="gramStart"/>
      <w:r>
        <w:rPr>
          <w:rFonts w:ascii="Century Gothic" w:hAnsi="Century Gothic"/>
          <w:sz w:val="20"/>
          <w:szCs w:val="20"/>
        </w:rPr>
        <w:t>contesto</w:t>
      </w:r>
      <w:proofErr w:type="gramEnd"/>
      <w:r>
        <w:rPr>
          <w:rFonts w:ascii="Century Gothic" w:hAnsi="Century Gothic"/>
          <w:sz w:val="20"/>
          <w:szCs w:val="20"/>
        </w:rPr>
        <w:t xml:space="preserve"> energetico ambientale del Comune di Brescia, sono analizzati scenari (denominati con il simbolo”+”) che prevedono l’estensione della rete di teleriscaldamento all’hinterland, un agglomerato fino a 20 Comuni inclusa </w:t>
      </w:r>
      <w:smartTag w:uri="urn:schemas-microsoft-com:office:smarttags" w:element="PersonName">
        <w:smartTagPr>
          <w:attr w:name="ProductID" w:val="la Valtrompia"/>
        </w:smartTagPr>
        <w:r>
          <w:rPr>
            <w:rFonts w:ascii="Century Gothic" w:hAnsi="Century Gothic"/>
            <w:sz w:val="20"/>
            <w:szCs w:val="20"/>
          </w:rPr>
          <w:t xml:space="preserve">la </w:t>
        </w:r>
        <w:proofErr w:type="spellStart"/>
        <w:r>
          <w:rPr>
            <w:rFonts w:ascii="Century Gothic" w:hAnsi="Century Gothic"/>
            <w:sz w:val="20"/>
            <w:szCs w:val="20"/>
          </w:rPr>
          <w:t>Valtrompia</w:t>
        </w:r>
      </w:smartTag>
      <w:proofErr w:type="spellEnd"/>
      <w:r>
        <w:rPr>
          <w:rFonts w:ascii="Century Gothic" w:hAnsi="Century Gothic"/>
          <w:sz w:val="20"/>
          <w:szCs w:val="20"/>
        </w:rPr>
        <w:t xml:space="preserve">, ridotti a 6 potenzialmente allacciabili in una prima fase. Sembra più un obiettivo di </w:t>
      </w:r>
      <w:proofErr w:type="gramStart"/>
      <w:r>
        <w:rPr>
          <w:rFonts w:ascii="Century Gothic" w:hAnsi="Century Gothic"/>
          <w:sz w:val="20"/>
          <w:szCs w:val="20"/>
        </w:rPr>
        <w:t xml:space="preserve">business </w:t>
      </w:r>
      <w:proofErr w:type="spellStart"/>
      <w:r>
        <w:rPr>
          <w:rFonts w:ascii="Century Gothic" w:hAnsi="Century Gothic"/>
          <w:sz w:val="20"/>
          <w:szCs w:val="20"/>
        </w:rPr>
        <w:t>plan</w:t>
      </w:r>
      <w:proofErr w:type="spellEnd"/>
      <w:proofErr w:type="gramEnd"/>
      <w:r>
        <w:rPr>
          <w:rFonts w:ascii="Century Gothic" w:hAnsi="Century Gothic"/>
          <w:sz w:val="20"/>
          <w:szCs w:val="20"/>
        </w:rPr>
        <w:t xml:space="preserve"> aziendale che di un’amministrazione comunale che deve decidere le sue strategie di transizione energetica. </w:t>
      </w:r>
    </w:p>
    <w:p w:rsidR="009F1770" w:rsidRDefault="009F1770" w:rsidP="005743D7">
      <w:pPr>
        <w:jc w:val="both"/>
        <w:rPr>
          <w:rFonts w:ascii="Century Gothic" w:hAnsi="Century Gothic"/>
          <w:sz w:val="20"/>
          <w:szCs w:val="20"/>
        </w:rPr>
      </w:pPr>
      <w:r>
        <w:rPr>
          <w:rFonts w:ascii="Century Gothic" w:hAnsi="Century Gothic"/>
          <w:sz w:val="20"/>
          <w:szCs w:val="20"/>
        </w:rPr>
        <w:t xml:space="preserve">Gli scenari analizzano le “macchine” esistenti e future e le loro interazioni, con una rete in crescita “business </w:t>
      </w:r>
      <w:proofErr w:type="spellStart"/>
      <w:r>
        <w:rPr>
          <w:rFonts w:ascii="Century Gothic" w:hAnsi="Century Gothic"/>
          <w:sz w:val="20"/>
          <w:szCs w:val="20"/>
        </w:rPr>
        <w:t>as</w:t>
      </w:r>
      <w:proofErr w:type="spellEnd"/>
      <w:r>
        <w:rPr>
          <w:rFonts w:ascii="Century Gothic" w:hAnsi="Century Gothic"/>
          <w:sz w:val="20"/>
          <w:szCs w:val="20"/>
        </w:rPr>
        <w:t xml:space="preserve"> </w:t>
      </w:r>
      <w:proofErr w:type="spellStart"/>
      <w:r>
        <w:rPr>
          <w:rFonts w:ascii="Century Gothic" w:hAnsi="Century Gothic"/>
          <w:sz w:val="20"/>
          <w:szCs w:val="20"/>
        </w:rPr>
        <w:t>usual</w:t>
      </w:r>
      <w:proofErr w:type="spellEnd"/>
      <w:r>
        <w:rPr>
          <w:rFonts w:ascii="Century Gothic" w:hAnsi="Century Gothic"/>
          <w:sz w:val="20"/>
          <w:szCs w:val="20"/>
        </w:rPr>
        <w:t xml:space="preserve">” e con uno scenario “+” in cui invece si </w:t>
      </w:r>
      <w:proofErr w:type="gramStart"/>
      <w:r>
        <w:rPr>
          <w:rFonts w:ascii="Century Gothic" w:hAnsi="Century Gothic"/>
          <w:sz w:val="20"/>
          <w:szCs w:val="20"/>
        </w:rPr>
        <w:t>estende</w:t>
      </w:r>
      <w:proofErr w:type="gramEnd"/>
      <w:r>
        <w:rPr>
          <w:rFonts w:ascii="Century Gothic" w:hAnsi="Century Gothic"/>
          <w:sz w:val="20"/>
          <w:szCs w:val="20"/>
        </w:rPr>
        <w:t xml:space="preserve"> verso altri sei Comuni limitrofi. A pag. </w:t>
      </w:r>
      <w:proofErr w:type="gramStart"/>
      <w:r>
        <w:rPr>
          <w:rFonts w:ascii="Century Gothic" w:hAnsi="Century Gothic"/>
          <w:sz w:val="20"/>
          <w:szCs w:val="20"/>
        </w:rPr>
        <w:t>Slide</w:t>
      </w:r>
      <w:proofErr w:type="gramEnd"/>
      <w:r>
        <w:rPr>
          <w:rFonts w:ascii="Century Gothic" w:hAnsi="Century Gothic"/>
          <w:sz w:val="20"/>
          <w:szCs w:val="20"/>
        </w:rPr>
        <w:t xml:space="preserve"> 80 si riassume l’elenco delle innovazioni impiantistiche prese in esame: ma non è fornito alcuno scenario di indirizzo ai decisori politici, tant’è che l’efficientamento del patrimonio edilizio è al 5° posto, mentre è noto che la riduzione dei carichi è più importante dell’efficienza di produzione. Al primo posto i recuperi di calore industriale, a fronte di un sistema di centrali sovradimensionate che sprecano la maggior parte del calore prodotto. </w:t>
      </w:r>
    </w:p>
    <w:p w:rsidR="009F1770" w:rsidRDefault="009F1770" w:rsidP="005743D7">
      <w:pPr>
        <w:jc w:val="both"/>
        <w:rPr>
          <w:rFonts w:ascii="Century Gothic" w:hAnsi="Century Gothic"/>
          <w:sz w:val="20"/>
          <w:szCs w:val="20"/>
        </w:rPr>
      </w:pPr>
      <w:r>
        <w:rPr>
          <w:rFonts w:ascii="Century Gothic" w:hAnsi="Century Gothic"/>
          <w:sz w:val="20"/>
          <w:szCs w:val="20"/>
        </w:rPr>
        <w:t xml:space="preserve">Non è considerata in modo approfondito la possibilità di politiche spinte di fuoriuscita dai combustibili fossili come se </w:t>
      </w:r>
      <w:r>
        <w:rPr>
          <w:rFonts w:ascii="Century Gothic" w:hAnsi="Century Gothic"/>
          <w:color w:val="FF0000"/>
          <w:sz w:val="20"/>
          <w:szCs w:val="20"/>
        </w:rPr>
        <w:t>non</w:t>
      </w:r>
      <w:proofErr w:type="gramStart"/>
      <w:r>
        <w:rPr>
          <w:rFonts w:ascii="Century Gothic" w:hAnsi="Century Gothic"/>
          <w:color w:val="FF0000"/>
          <w:sz w:val="20"/>
          <w:szCs w:val="20"/>
        </w:rPr>
        <w:t xml:space="preserve"> </w:t>
      </w:r>
      <w:r>
        <w:rPr>
          <w:rFonts w:ascii="Century Gothic" w:hAnsi="Century Gothic"/>
          <w:sz w:val="20"/>
          <w:szCs w:val="20"/>
        </w:rPr>
        <w:t xml:space="preserve"> </w:t>
      </w:r>
      <w:proofErr w:type="gramEnd"/>
      <w:r>
        <w:rPr>
          <w:rFonts w:ascii="Century Gothic" w:hAnsi="Century Gothic"/>
          <w:sz w:val="20"/>
          <w:szCs w:val="20"/>
        </w:rPr>
        <w:t xml:space="preserve">si prendessero sul serio i cambiamenti climatici. Ad esempio: politiche d’investimenti nella riqualificazione massiccia di edifici pubblici e privati, anche usando le leve finanziarie di cui dispone A2A. Gli estensori si affidano a un’evoluzione spontanea del mercato, che potrebbe richiedere decenni ai tassi attuali di riqualificazione. Non sono previsti investimenti e politiche attive in tal senso. È noto che solo investendo su questo segmento si potrebbero ottenere tassi di penetrazione del solare termico e altre tecnologie rinnovabili a due cifre. </w:t>
      </w:r>
    </w:p>
    <w:p w:rsidR="009F1770" w:rsidRDefault="009F1770" w:rsidP="005743D7">
      <w:pPr>
        <w:jc w:val="both"/>
        <w:rPr>
          <w:rFonts w:ascii="Century Gothic" w:hAnsi="Century Gothic"/>
          <w:sz w:val="20"/>
          <w:szCs w:val="20"/>
        </w:rPr>
      </w:pPr>
      <w:r>
        <w:rPr>
          <w:rFonts w:ascii="Century Gothic" w:hAnsi="Century Gothic"/>
          <w:sz w:val="20"/>
          <w:szCs w:val="20"/>
        </w:rPr>
        <w:t xml:space="preserve">Quest’approccio ingegneristico alle “macchine” purtroppo è un grosso limite del lavoro, che doveva invece essere affidato a ESCO, dotate di competenze nei settori dell’energia, pianificazione, risorse naturali (che ruolo può avere una politica di forestazione?), geologia. </w:t>
      </w:r>
    </w:p>
    <w:p w:rsidR="009F1770" w:rsidRDefault="009F1770" w:rsidP="005743D7">
      <w:pPr>
        <w:jc w:val="both"/>
        <w:rPr>
          <w:rFonts w:ascii="Century Gothic" w:hAnsi="Century Gothic"/>
          <w:sz w:val="20"/>
          <w:szCs w:val="20"/>
        </w:rPr>
      </w:pPr>
      <w:r>
        <w:rPr>
          <w:rFonts w:ascii="Century Gothic" w:hAnsi="Century Gothic"/>
          <w:sz w:val="20"/>
          <w:szCs w:val="20"/>
        </w:rPr>
        <w:t xml:space="preserve">Non entrano nello studio i vincoli dell’economia circolare: ossia l’obiettivo di riduzione dei rifiuti, di potenziamento del riciclo: la necessità di adozione di tassazioni della CO2 emessa anche dagli inceneritori che oggi ne sono esentati, o </w:t>
      </w:r>
      <w:proofErr w:type="gramStart"/>
      <w:r>
        <w:rPr>
          <w:rFonts w:ascii="Century Gothic" w:hAnsi="Century Gothic"/>
          <w:sz w:val="20"/>
          <w:szCs w:val="20"/>
        </w:rPr>
        <w:t>maggiori</w:t>
      </w:r>
      <w:proofErr w:type="gramEnd"/>
      <w:r>
        <w:rPr>
          <w:rFonts w:ascii="Century Gothic" w:hAnsi="Century Gothic"/>
          <w:sz w:val="20"/>
          <w:szCs w:val="20"/>
        </w:rPr>
        <w:t xml:space="preserve"> tasse sull’incenerimento per favorire il riciclo. </w:t>
      </w:r>
    </w:p>
    <w:p w:rsidR="009F1770" w:rsidRDefault="009F1770" w:rsidP="005743D7">
      <w:pPr>
        <w:jc w:val="both"/>
        <w:rPr>
          <w:rFonts w:ascii="Century Gothic" w:hAnsi="Century Gothic"/>
          <w:sz w:val="20"/>
          <w:szCs w:val="20"/>
        </w:rPr>
      </w:pPr>
      <w:r w:rsidRPr="00F2111F">
        <w:rPr>
          <w:rFonts w:ascii="Century Gothic" w:hAnsi="Century Gothic"/>
          <w:sz w:val="20"/>
          <w:szCs w:val="20"/>
        </w:rPr>
        <w:t xml:space="preserve">Lo studio ipotizza l’estensione della rete senza fornire alcun supporto tecnico scientifico, </w:t>
      </w:r>
      <w:proofErr w:type="gramStart"/>
      <w:r w:rsidRPr="00F2111F">
        <w:rPr>
          <w:rFonts w:ascii="Century Gothic" w:hAnsi="Century Gothic"/>
          <w:sz w:val="20"/>
          <w:szCs w:val="20"/>
        </w:rPr>
        <w:t>visto che</w:t>
      </w:r>
      <w:proofErr w:type="gramEnd"/>
      <w:r w:rsidRPr="00F2111F">
        <w:rPr>
          <w:rFonts w:ascii="Century Gothic" w:hAnsi="Century Gothic"/>
          <w:sz w:val="20"/>
          <w:szCs w:val="20"/>
        </w:rPr>
        <w:t xml:space="preserve"> da alcuni anni non cresce la volumetria installata. </w:t>
      </w:r>
      <w:r>
        <w:rPr>
          <w:rFonts w:ascii="Century Gothic" w:hAnsi="Century Gothic"/>
          <w:sz w:val="20"/>
          <w:szCs w:val="20"/>
        </w:rPr>
        <w:t xml:space="preserve">Mancano riferimenti alle pompe di calore geotermiche, grave se si pensa che l’azienda a Milano </w:t>
      </w:r>
      <w:proofErr w:type="gramStart"/>
      <w:r>
        <w:rPr>
          <w:rFonts w:ascii="Century Gothic" w:hAnsi="Century Gothic"/>
          <w:sz w:val="20"/>
          <w:szCs w:val="20"/>
        </w:rPr>
        <w:t>le utilizza</w:t>
      </w:r>
      <w:proofErr w:type="gramEnd"/>
      <w:r>
        <w:rPr>
          <w:rFonts w:ascii="Century Gothic" w:hAnsi="Century Gothic"/>
          <w:sz w:val="20"/>
          <w:szCs w:val="20"/>
        </w:rPr>
        <w:t xml:space="preserve"> da anni e alle altre tecnologie rinnovabili decentrate.</w:t>
      </w:r>
    </w:p>
    <w:p w:rsidR="009F1770" w:rsidRDefault="009F1770" w:rsidP="005743D7">
      <w:pPr>
        <w:jc w:val="both"/>
        <w:rPr>
          <w:rFonts w:ascii="Century Gothic" w:hAnsi="Century Gothic"/>
          <w:sz w:val="20"/>
          <w:szCs w:val="20"/>
        </w:rPr>
      </w:pPr>
      <w:r>
        <w:rPr>
          <w:rFonts w:ascii="Century Gothic" w:hAnsi="Century Gothic"/>
          <w:sz w:val="20"/>
          <w:szCs w:val="20"/>
        </w:rPr>
        <w:t>Il modello utilizzato è rigido: non consente di ipotizzare l’uso del gas metano in una o tutte le linee dell’inceneritore, e il funzionamento</w:t>
      </w:r>
      <w:r w:rsidRPr="00874EC1">
        <w:rPr>
          <w:rFonts w:ascii="Century Gothic" w:hAnsi="Century Gothic"/>
          <w:color w:val="FF0000"/>
          <w:sz w:val="20"/>
          <w:szCs w:val="20"/>
        </w:rPr>
        <w:t xml:space="preserve"> </w:t>
      </w:r>
      <w:r>
        <w:rPr>
          <w:rFonts w:ascii="Century Gothic" w:hAnsi="Century Gothic"/>
          <w:sz w:val="20"/>
          <w:szCs w:val="20"/>
        </w:rPr>
        <w:t xml:space="preserve">a metano di Lamarmora. </w:t>
      </w:r>
    </w:p>
    <w:p w:rsidR="009F1770" w:rsidRDefault="009F1770" w:rsidP="00E86582">
      <w:pPr>
        <w:jc w:val="both"/>
        <w:rPr>
          <w:rFonts w:ascii="Century Gothic" w:hAnsi="Century Gothic"/>
          <w:sz w:val="20"/>
          <w:szCs w:val="20"/>
        </w:rPr>
      </w:pPr>
      <w:r>
        <w:rPr>
          <w:rFonts w:ascii="Century Gothic" w:hAnsi="Century Gothic"/>
          <w:sz w:val="20"/>
          <w:szCs w:val="20"/>
        </w:rPr>
        <w:t xml:space="preserve">Il modello di calcolo non approssima adeguatamente il sistema reale: prevede un utilizzo delle caldaie inferiore del 32% al reale, e un consumo di metano inferiore del 35%. Lo scenario B poteva essere molto più performante, inserendo il funzionamento a metano di Lamarmora, e sua </w:t>
      </w:r>
      <w:proofErr w:type="gramStart"/>
      <w:r>
        <w:rPr>
          <w:rFonts w:ascii="Century Gothic" w:hAnsi="Century Gothic"/>
          <w:sz w:val="20"/>
          <w:szCs w:val="20"/>
        </w:rPr>
        <w:t>contestuale</w:t>
      </w:r>
      <w:proofErr w:type="gramEnd"/>
      <w:r>
        <w:rPr>
          <w:rFonts w:ascii="Century Gothic" w:hAnsi="Century Gothic"/>
          <w:sz w:val="20"/>
          <w:szCs w:val="20"/>
        </w:rPr>
        <w:t xml:space="preserve"> riduzione di potenza.</w:t>
      </w:r>
    </w:p>
    <w:p w:rsidR="009F1770" w:rsidRDefault="009F1770" w:rsidP="005743D7">
      <w:pPr>
        <w:jc w:val="both"/>
        <w:rPr>
          <w:rFonts w:ascii="Century Gothic" w:hAnsi="Century Gothic"/>
          <w:sz w:val="20"/>
          <w:szCs w:val="20"/>
        </w:rPr>
      </w:pPr>
      <w:r>
        <w:rPr>
          <w:rFonts w:ascii="Century Gothic" w:hAnsi="Century Gothic"/>
          <w:sz w:val="20"/>
          <w:szCs w:val="20"/>
        </w:rPr>
        <w:t>È scartata l’</w:t>
      </w:r>
      <w:proofErr w:type="gramStart"/>
      <w:r>
        <w:rPr>
          <w:rFonts w:ascii="Century Gothic" w:hAnsi="Century Gothic"/>
          <w:sz w:val="20"/>
          <w:szCs w:val="20"/>
        </w:rPr>
        <w:t>opzione</w:t>
      </w:r>
      <w:proofErr w:type="gramEnd"/>
      <w:r>
        <w:rPr>
          <w:rFonts w:ascii="Century Gothic" w:hAnsi="Century Gothic"/>
          <w:sz w:val="20"/>
          <w:szCs w:val="20"/>
        </w:rPr>
        <w:t xml:space="preserve"> del solare termico decentrato, che invece è praticata in altri paesi europei, e non è analizzato l’impatto dell’abbassamento delle temperature di rete, che consentirebbe minori dispersioni e maggiore facilità di accesso a sistemi a pompe di calore o solari termici.</w:t>
      </w:r>
    </w:p>
    <w:p w:rsidR="009F1770" w:rsidRDefault="009F1770" w:rsidP="005743D7">
      <w:pPr>
        <w:jc w:val="both"/>
        <w:rPr>
          <w:rFonts w:ascii="Century Gothic" w:hAnsi="Century Gothic"/>
          <w:sz w:val="20"/>
          <w:szCs w:val="20"/>
        </w:rPr>
      </w:pPr>
      <w:r>
        <w:rPr>
          <w:rFonts w:ascii="Century Gothic" w:hAnsi="Century Gothic"/>
          <w:sz w:val="20"/>
          <w:szCs w:val="20"/>
        </w:rPr>
        <w:t xml:space="preserve"> Manca completamente una rassegna delle esperienze europee di municipalità che anche con reti calore stanno puntando </w:t>
      </w:r>
      <w:proofErr w:type="gramStart"/>
      <w:r>
        <w:rPr>
          <w:rFonts w:ascii="Century Gothic" w:hAnsi="Century Gothic"/>
          <w:sz w:val="20"/>
          <w:szCs w:val="20"/>
        </w:rPr>
        <w:t>ad</w:t>
      </w:r>
      <w:proofErr w:type="gramEnd"/>
      <w:r>
        <w:rPr>
          <w:rFonts w:ascii="Century Gothic" w:hAnsi="Century Gothic"/>
          <w:sz w:val="20"/>
          <w:szCs w:val="20"/>
        </w:rPr>
        <w:t xml:space="preserve"> un uso più rilevante di rinnovabili. </w:t>
      </w:r>
      <w:proofErr w:type="gramStart"/>
      <w:r>
        <w:rPr>
          <w:rFonts w:ascii="Century Gothic" w:hAnsi="Century Gothic"/>
          <w:sz w:val="20"/>
          <w:szCs w:val="20"/>
        </w:rPr>
        <w:t>L’opzione solare termico</w:t>
      </w:r>
      <w:proofErr w:type="gramEnd"/>
      <w:r>
        <w:rPr>
          <w:rFonts w:ascii="Century Gothic" w:hAnsi="Century Gothic"/>
          <w:sz w:val="20"/>
          <w:szCs w:val="20"/>
        </w:rPr>
        <w:t xml:space="preserve"> è appena accennata nello studio. Il solare fotovoltaico per alimentare le pompe di calore non è oggetto dello studio.</w:t>
      </w:r>
    </w:p>
    <w:p w:rsidR="009F1770" w:rsidRDefault="009F1770" w:rsidP="005743D7">
      <w:pPr>
        <w:jc w:val="both"/>
        <w:rPr>
          <w:rFonts w:ascii="Century Gothic" w:hAnsi="Century Gothic"/>
          <w:sz w:val="20"/>
          <w:szCs w:val="20"/>
        </w:rPr>
      </w:pPr>
      <w:r>
        <w:rPr>
          <w:rFonts w:ascii="Century Gothic" w:hAnsi="Century Gothic"/>
          <w:sz w:val="20"/>
          <w:szCs w:val="20"/>
        </w:rPr>
        <w:t xml:space="preserve"> Gli estensori dedicano decine di pagine all’inizio del lavoro per giustificare le scelte aziendali sulla cogenerazione e l’incenerimento: purtroppo però in Europa il ventaglio di tecnologie adottato è molto più ampio, e non sempre la cogenerazione è valutata come efficiente. Gli estensori sono convinti che le soluzioni al problema </w:t>
      </w:r>
      <w:proofErr w:type="gramStart"/>
      <w:r>
        <w:rPr>
          <w:rFonts w:ascii="Century Gothic" w:hAnsi="Century Gothic"/>
          <w:sz w:val="20"/>
          <w:szCs w:val="20"/>
        </w:rPr>
        <w:t>vengono</w:t>
      </w:r>
      <w:proofErr w:type="gramEnd"/>
      <w:r>
        <w:rPr>
          <w:rFonts w:ascii="Century Gothic" w:hAnsi="Century Gothic"/>
          <w:sz w:val="20"/>
          <w:szCs w:val="20"/>
        </w:rPr>
        <w:t xml:space="preserve"> dalle stesse tecnologie che li hanno creati. Paradossale l’affermazione a pag. </w:t>
      </w:r>
      <w:proofErr w:type="gramStart"/>
      <w:r>
        <w:rPr>
          <w:rFonts w:ascii="Century Gothic" w:hAnsi="Century Gothic"/>
          <w:sz w:val="20"/>
          <w:szCs w:val="20"/>
        </w:rPr>
        <w:t>Slide</w:t>
      </w:r>
      <w:proofErr w:type="gramEnd"/>
      <w:r>
        <w:rPr>
          <w:rFonts w:ascii="Century Gothic" w:hAnsi="Century Gothic"/>
          <w:sz w:val="20"/>
          <w:szCs w:val="20"/>
        </w:rPr>
        <w:t xml:space="preserve"> 162 delle diapositive: </w:t>
      </w:r>
      <w:r w:rsidRPr="003C3FD9">
        <w:rPr>
          <w:rFonts w:ascii="Century Gothic" w:hAnsi="Century Gothic"/>
          <w:i/>
          <w:sz w:val="20"/>
          <w:szCs w:val="20"/>
        </w:rPr>
        <w:t>“[…] rispetto alle molte realtà dove l’assenza del teleriscaldamento, cogenerazione e termovalorizzazione rende la situazione energetico ambientale problematica, Brescia invece […]</w:t>
      </w:r>
      <w:r>
        <w:rPr>
          <w:rFonts w:ascii="Century Gothic" w:hAnsi="Century Gothic"/>
          <w:sz w:val="20"/>
          <w:szCs w:val="20"/>
        </w:rPr>
        <w:t>. Invece a Brescia con un tale mix energetico ambientale, abbiamo le stesse condizioni di emergenza!</w:t>
      </w:r>
    </w:p>
    <w:p w:rsidR="009F1770" w:rsidRDefault="009F1770" w:rsidP="005743D7">
      <w:pPr>
        <w:jc w:val="both"/>
        <w:rPr>
          <w:rFonts w:ascii="Century Gothic" w:hAnsi="Century Gothic"/>
          <w:sz w:val="20"/>
          <w:szCs w:val="20"/>
        </w:rPr>
      </w:pPr>
      <w:r>
        <w:rPr>
          <w:rFonts w:ascii="Century Gothic" w:hAnsi="Century Gothic"/>
          <w:sz w:val="20"/>
          <w:szCs w:val="20"/>
        </w:rPr>
        <w:t xml:space="preserve">Gli articoli richiamati nelle prime pagine che citano il sistema Brescia come un’esperienza di successo, sono controbilanciati dai dati oggettivi di un sistema sovradimensionato che comporta sprechi rilevanti sia presso le centrali </w:t>
      </w:r>
      <w:proofErr w:type="gramStart"/>
      <w:r>
        <w:rPr>
          <w:rFonts w:ascii="Century Gothic" w:hAnsi="Century Gothic"/>
          <w:sz w:val="20"/>
          <w:szCs w:val="20"/>
        </w:rPr>
        <w:t>che</w:t>
      </w:r>
      <w:proofErr w:type="gramEnd"/>
      <w:r>
        <w:rPr>
          <w:rFonts w:ascii="Century Gothic" w:hAnsi="Century Gothic"/>
          <w:sz w:val="20"/>
          <w:szCs w:val="20"/>
        </w:rPr>
        <w:t xml:space="preserve"> sulla rete. (vedasi di seguito)</w:t>
      </w:r>
    </w:p>
    <w:p w:rsidR="009F1770" w:rsidRDefault="009F1770" w:rsidP="005743D7">
      <w:pPr>
        <w:jc w:val="both"/>
        <w:rPr>
          <w:rFonts w:ascii="Century Gothic" w:hAnsi="Century Gothic"/>
          <w:sz w:val="20"/>
          <w:szCs w:val="20"/>
        </w:rPr>
      </w:pPr>
      <w:r>
        <w:rPr>
          <w:rFonts w:ascii="Century Gothic" w:hAnsi="Century Gothic"/>
          <w:sz w:val="20"/>
          <w:szCs w:val="20"/>
        </w:rPr>
        <w:t xml:space="preserve">Non un cenno a tutto ciò. Ma all’estero sanno bene che la cogenerazione pubblica in Italia </w:t>
      </w:r>
      <w:proofErr w:type="gramStart"/>
      <w:r>
        <w:rPr>
          <w:rFonts w:ascii="Century Gothic" w:hAnsi="Century Gothic"/>
          <w:sz w:val="20"/>
          <w:szCs w:val="20"/>
        </w:rPr>
        <w:t>ha</w:t>
      </w:r>
      <w:proofErr w:type="gramEnd"/>
      <w:r>
        <w:rPr>
          <w:rFonts w:ascii="Century Gothic" w:hAnsi="Century Gothic"/>
          <w:sz w:val="20"/>
          <w:szCs w:val="20"/>
        </w:rPr>
        <w:t xml:space="preserve"> rendimenti scadenti, con sprechi di calore elevati, rispetto alla cogenerazione in ambito industriale.  </w:t>
      </w:r>
    </w:p>
    <w:p w:rsidR="009F1770" w:rsidRDefault="009F1770" w:rsidP="005743D7">
      <w:pPr>
        <w:jc w:val="both"/>
        <w:rPr>
          <w:rFonts w:ascii="Century Gothic" w:hAnsi="Century Gothic"/>
          <w:sz w:val="20"/>
          <w:szCs w:val="20"/>
        </w:rPr>
      </w:pPr>
    </w:p>
    <w:p w:rsidR="009F1770" w:rsidRDefault="009F1770" w:rsidP="005743D7">
      <w:pPr>
        <w:jc w:val="both"/>
        <w:rPr>
          <w:rFonts w:ascii="Century Gothic" w:hAnsi="Century Gothic"/>
          <w:sz w:val="20"/>
          <w:szCs w:val="20"/>
        </w:rPr>
      </w:pPr>
    </w:p>
    <w:p w:rsidR="009F1770" w:rsidRPr="00AF3EF0" w:rsidRDefault="009F1770" w:rsidP="00AF3EF0">
      <w:pPr>
        <w:pStyle w:val="Titolo3"/>
      </w:pPr>
      <w:r w:rsidRPr="00AF3EF0">
        <w:t>2. Osservazioni sui contenuti</w:t>
      </w:r>
    </w:p>
    <w:p w:rsidR="009F1770" w:rsidRDefault="009F1770" w:rsidP="00AF3EF0">
      <w:pPr>
        <w:jc w:val="both"/>
        <w:rPr>
          <w:rFonts w:ascii="Century Gothic" w:hAnsi="Century Gothic"/>
          <w:sz w:val="20"/>
          <w:szCs w:val="20"/>
        </w:rPr>
      </w:pPr>
    </w:p>
    <w:p w:rsidR="009F1770" w:rsidRDefault="009F1770" w:rsidP="00CE2625">
      <w:pPr>
        <w:pStyle w:val="Titolo4"/>
      </w:pPr>
      <w:r>
        <w:t>2.1 DEMOCRAZIA, TRASPARENZA</w:t>
      </w:r>
    </w:p>
    <w:p w:rsidR="009F1770" w:rsidRPr="001F667B" w:rsidRDefault="009F1770" w:rsidP="001F667B"/>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Prima di esaminare nel dettaglio lo studio, corre l’obbligo denunciare l’atteggiamento</w:t>
      </w:r>
      <w:proofErr w:type="gramStart"/>
      <w:r w:rsidRPr="001F667B">
        <w:rPr>
          <w:rFonts w:ascii="Century Gothic" w:hAnsi="Century Gothic"/>
          <w:sz w:val="20"/>
          <w:szCs w:val="20"/>
        </w:rPr>
        <w:t xml:space="preserve">  </w:t>
      </w:r>
      <w:proofErr w:type="gramEnd"/>
      <w:r>
        <w:rPr>
          <w:rFonts w:ascii="Century Gothic" w:hAnsi="Century Gothic"/>
          <w:sz w:val="20"/>
          <w:szCs w:val="20"/>
        </w:rPr>
        <w:t>a</w:t>
      </w:r>
      <w:r w:rsidRPr="001F667B">
        <w:rPr>
          <w:rFonts w:ascii="Century Gothic" w:hAnsi="Century Gothic"/>
          <w:sz w:val="20"/>
          <w:szCs w:val="20"/>
        </w:rPr>
        <w:t xml:space="preserve">ntidemocratico dell’Amministrazione comunale di Brescia che, nonostante gli impegni più volte assunti dal Sindaco anche pubblicamente, ha negato l’accesso ai dati ed alle fonti informative al gruppo di studio del Tavolo Basta veleni. </w:t>
      </w:r>
    </w:p>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Per valutare criticamente uno studio commissionato da un Ente pubblico, in un Paese democratico, è indispensabile mettere a disposizione di tutti le fonti e i dati su cui lo studio stesso si basa, fonti e dati, invece, riservati esclusivamente ai due professori sopra menzionati, forse perché gli stessi sono da</w:t>
      </w:r>
      <w:proofErr w:type="gramStart"/>
      <w:r w:rsidRPr="001F667B">
        <w:rPr>
          <w:rFonts w:ascii="Century Gothic" w:hAnsi="Century Gothic"/>
          <w:sz w:val="20"/>
          <w:szCs w:val="20"/>
        </w:rPr>
        <w:t xml:space="preserve">  </w:t>
      </w:r>
      <w:proofErr w:type="gramEnd"/>
      <w:r w:rsidRPr="001F667B">
        <w:rPr>
          <w:rFonts w:ascii="Century Gothic" w:hAnsi="Century Gothic"/>
          <w:sz w:val="20"/>
          <w:szCs w:val="20"/>
        </w:rPr>
        <w:t xml:space="preserve">molti anni in rapporto di consulenza con A2A e quindi affidabili. In effetti, lo studio, fin dal titolo che fa proprio la </w:t>
      </w:r>
      <w:proofErr w:type="gramStart"/>
      <w:r w:rsidRPr="001F667B">
        <w:rPr>
          <w:rFonts w:ascii="Century Gothic" w:hAnsi="Century Gothic"/>
          <w:sz w:val="20"/>
          <w:szCs w:val="20"/>
        </w:rPr>
        <w:t>denominazione</w:t>
      </w:r>
      <w:proofErr w:type="gramEnd"/>
      <w:r w:rsidRPr="001F667B">
        <w:rPr>
          <w:rFonts w:ascii="Century Gothic" w:hAnsi="Century Gothic"/>
          <w:sz w:val="20"/>
          <w:szCs w:val="20"/>
        </w:rPr>
        <w:t xml:space="preserve"> “termoutilizzatore” del marketing A2A,  estranea, sia al linguaggio giuridico che a quello scientifico - “impianto di incenerimento di rifiuti con recupero energetico” -, sembra più un </w:t>
      </w:r>
      <w:proofErr w:type="spellStart"/>
      <w:r w:rsidRPr="001F667B">
        <w:rPr>
          <w:rFonts w:ascii="Century Gothic" w:hAnsi="Century Gothic"/>
          <w:sz w:val="20"/>
          <w:szCs w:val="20"/>
        </w:rPr>
        <w:t>businessplan</w:t>
      </w:r>
      <w:proofErr w:type="spellEnd"/>
      <w:r w:rsidRPr="001F667B">
        <w:rPr>
          <w:rFonts w:ascii="Century Gothic" w:hAnsi="Century Gothic"/>
          <w:sz w:val="20"/>
          <w:szCs w:val="20"/>
        </w:rPr>
        <w:t xml:space="preserve"> di A2A che uno  studio rispondente alle problematiche di una comunità di cittadini. </w:t>
      </w:r>
    </w:p>
    <w:p w:rsidR="009F1770" w:rsidRPr="00CE2625" w:rsidRDefault="009F1770" w:rsidP="00F2111F">
      <w:pPr>
        <w:jc w:val="both"/>
      </w:pPr>
      <w:r w:rsidRPr="001F667B">
        <w:rPr>
          <w:rFonts w:ascii="Century Gothic" w:hAnsi="Century Gothic"/>
          <w:sz w:val="20"/>
          <w:szCs w:val="20"/>
        </w:rPr>
        <w:t>Tenendo conto, quindi, di queste gravi limitazioni frapposte dall’Amministrazione comunale, e con tutte le riserve del caso (di</w:t>
      </w:r>
      <w:r>
        <w:t xml:space="preserve"> </w:t>
      </w:r>
      <w:r w:rsidRPr="001F667B">
        <w:rPr>
          <w:rFonts w:ascii="Century Gothic" w:hAnsi="Century Gothic"/>
          <w:sz w:val="20"/>
          <w:szCs w:val="20"/>
        </w:rPr>
        <w:t>molti dati immess</w:t>
      </w:r>
      <w:r>
        <w:rPr>
          <w:rFonts w:ascii="Century Gothic" w:hAnsi="Century Gothic"/>
          <w:sz w:val="20"/>
          <w:szCs w:val="20"/>
        </w:rPr>
        <w:t>i</w:t>
      </w:r>
      <w:r w:rsidRPr="001F667B">
        <w:rPr>
          <w:rFonts w:ascii="Century Gothic" w:hAnsi="Century Gothic"/>
          <w:sz w:val="20"/>
          <w:szCs w:val="20"/>
        </w:rPr>
        <w:t xml:space="preserve"> nelle </w:t>
      </w:r>
      <w:proofErr w:type="gramStart"/>
      <w:r w:rsidRPr="001F667B">
        <w:rPr>
          <w:rFonts w:ascii="Century Gothic" w:hAnsi="Century Gothic"/>
          <w:sz w:val="20"/>
          <w:szCs w:val="20"/>
        </w:rPr>
        <w:t>slides</w:t>
      </w:r>
      <w:proofErr w:type="gramEnd"/>
      <w:r w:rsidRPr="001F667B">
        <w:rPr>
          <w:rFonts w:ascii="Century Gothic" w:hAnsi="Century Gothic"/>
          <w:sz w:val="20"/>
          <w:szCs w:val="20"/>
        </w:rPr>
        <w:t xml:space="preserve"> è vietata la verifica della fondatezza e bisogna prenderli per buoni a scatola chiusa) di seguito formuliamo alcune osservazioni </w:t>
      </w:r>
    </w:p>
    <w:p w:rsidR="009F1770" w:rsidRDefault="009F1770" w:rsidP="00CE2625">
      <w:pPr>
        <w:pStyle w:val="Titolo4"/>
      </w:pPr>
      <w:r>
        <w:t>2.2 QUADRO PROGRAMMATICO</w:t>
      </w:r>
      <w:proofErr w:type="gramStart"/>
      <w:r>
        <w:t xml:space="preserve">  </w:t>
      </w:r>
      <w:proofErr w:type="gramEnd"/>
      <w:r>
        <w:t>DI RIFERIMENTO</w:t>
      </w:r>
    </w:p>
    <w:p w:rsidR="009F1770" w:rsidRPr="001F667B" w:rsidRDefault="009F1770" w:rsidP="001F667B"/>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 xml:space="preserve">Sul tema oggetto di studio, </w:t>
      </w:r>
      <w:proofErr w:type="gramStart"/>
      <w:r w:rsidRPr="001F667B">
        <w:rPr>
          <w:rFonts w:ascii="Century Gothic" w:hAnsi="Century Gothic"/>
          <w:sz w:val="20"/>
          <w:szCs w:val="20"/>
        </w:rPr>
        <w:t>ovvero</w:t>
      </w:r>
      <w:proofErr w:type="gramEnd"/>
      <w:r w:rsidRPr="001F667B">
        <w:rPr>
          <w:rFonts w:ascii="Century Gothic" w:hAnsi="Century Gothic"/>
          <w:sz w:val="20"/>
          <w:szCs w:val="20"/>
        </w:rPr>
        <w:t xml:space="preserve"> sistema energetico di Brescia fondato su inceneritore di rifiuti e centrali termiche in funzione del teleriscaldamento, dai professori </w:t>
      </w:r>
      <w:r w:rsidRPr="001F667B">
        <w:rPr>
          <w:rFonts w:ascii="Century Gothic" w:hAnsi="Century Gothic"/>
          <w:b/>
          <w:sz w:val="20"/>
          <w:szCs w:val="20"/>
        </w:rPr>
        <w:t>viene del tutto ignorata la strategia più recente ed innovativa dell’Unione europea, quella relativa alla cosiddetta “economia circolare”</w:t>
      </w:r>
      <w:r w:rsidRPr="001F667B">
        <w:rPr>
          <w:rFonts w:ascii="Century Gothic" w:hAnsi="Century Gothic"/>
          <w:sz w:val="20"/>
          <w:szCs w:val="20"/>
        </w:rPr>
        <w:t xml:space="preserve">, soltanto nominata (non si poteva fare a meno!) in un inciso della slide 11. Essa prevede che entro il 2030 si consegua un riciclaggio dei rifiuti da imballaggio del 75%, il che significa nel concreto una raccolta </w:t>
      </w:r>
      <w:proofErr w:type="gramStart"/>
      <w:r w:rsidRPr="001F667B">
        <w:rPr>
          <w:rFonts w:ascii="Century Gothic" w:hAnsi="Century Gothic"/>
          <w:sz w:val="20"/>
          <w:szCs w:val="20"/>
        </w:rPr>
        <w:t>differenziata</w:t>
      </w:r>
      <w:proofErr w:type="gramEnd"/>
      <w:r w:rsidRPr="001F667B">
        <w:rPr>
          <w:rFonts w:ascii="Century Gothic" w:hAnsi="Century Gothic"/>
          <w:sz w:val="20"/>
          <w:szCs w:val="20"/>
        </w:rPr>
        <w:t xml:space="preserve"> spinta e lo stop all’invio degli stessi rifiuti all’incenerimento (i rifiuti da imballaggi di plastica, carta, cartone e legno, sono, ovviamente, il pezzo forte per la combustione).</w:t>
      </w:r>
    </w:p>
    <w:p w:rsidR="009F1770" w:rsidRPr="001F667B" w:rsidRDefault="009F1770" w:rsidP="001F667B">
      <w:pPr>
        <w:jc w:val="both"/>
        <w:rPr>
          <w:rFonts w:ascii="Century Gothic" w:hAnsi="Century Gothic"/>
          <w:i/>
          <w:sz w:val="20"/>
          <w:szCs w:val="20"/>
        </w:rPr>
      </w:pPr>
      <w:r w:rsidRPr="001F667B">
        <w:rPr>
          <w:rFonts w:ascii="Century Gothic" w:hAnsi="Century Gothic"/>
          <w:sz w:val="20"/>
          <w:szCs w:val="20"/>
        </w:rPr>
        <w:t xml:space="preserve">Si comprende l’imbarazzo dei professori a doverla citare nel dettaglio, come ad esempio la Comunicazione della Commissione europea sul </w:t>
      </w:r>
      <w:r w:rsidRPr="001F667B">
        <w:rPr>
          <w:rFonts w:ascii="Century Gothic" w:hAnsi="Century Gothic"/>
          <w:i/>
          <w:sz w:val="20"/>
          <w:szCs w:val="20"/>
        </w:rPr>
        <w:t xml:space="preserve">Ruolo dei rifiuti per l’energia nell’economia circolare, </w:t>
      </w:r>
      <w:r w:rsidRPr="001F667B">
        <w:rPr>
          <w:rFonts w:ascii="Century Gothic" w:hAnsi="Century Gothic"/>
          <w:sz w:val="20"/>
          <w:szCs w:val="20"/>
        </w:rPr>
        <w:t>del 26 gennaio 2017 (</w:t>
      </w:r>
      <w:hyperlink r:id="rId8" w:history="1">
        <w:r w:rsidRPr="001F667B">
          <w:rPr>
            <w:rStyle w:val="Collegamentoipertestuale"/>
            <w:rFonts w:ascii="Century Gothic" w:hAnsi="Century Gothic"/>
            <w:sz w:val="20"/>
            <w:szCs w:val="20"/>
          </w:rPr>
          <w:t>http://ec.europa.eu/environment/waste/waste-to-energy.pdf</w:t>
        </w:r>
      </w:hyperlink>
      <w:r w:rsidRPr="001F667B">
        <w:rPr>
          <w:rFonts w:ascii="Century Gothic" w:hAnsi="Century Gothic"/>
          <w:sz w:val="20"/>
          <w:szCs w:val="20"/>
        </w:rPr>
        <w:t>)</w:t>
      </w:r>
      <w:r w:rsidRPr="001F667B">
        <w:rPr>
          <w:rFonts w:ascii="Century Gothic" w:hAnsi="Century Gothic"/>
          <w:i/>
          <w:sz w:val="20"/>
          <w:szCs w:val="20"/>
        </w:rPr>
        <w:t xml:space="preserve">. </w:t>
      </w:r>
    </w:p>
    <w:p w:rsidR="009F1770" w:rsidRPr="001F667B" w:rsidRDefault="009F1770" w:rsidP="001F667B">
      <w:pPr>
        <w:jc w:val="both"/>
        <w:rPr>
          <w:rFonts w:ascii="Century Gothic" w:hAnsi="Century Gothic"/>
          <w:sz w:val="20"/>
          <w:szCs w:val="20"/>
        </w:rPr>
      </w:pPr>
      <w:r w:rsidRPr="001F667B">
        <w:rPr>
          <w:rFonts w:ascii="Century Gothic" w:hAnsi="Century Gothic"/>
          <w:i/>
          <w:sz w:val="20"/>
          <w:szCs w:val="20"/>
        </w:rPr>
        <w:t xml:space="preserve">In questa Comunicazione la Commissione Europea ha invitato gli stati membri a rivedere il ruolo e le potenzialità dell’incenerimento dei rifiuti </w:t>
      </w:r>
      <w:r w:rsidRPr="001F667B">
        <w:rPr>
          <w:rFonts w:ascii="Century Gothic" w:hAnsi="Century Gothic"/>
          <w:bCs/>
          <w:i/>
          <w:sz w:val="20"/>
          <w:szCs w:val="20"/>
        </w:rPr>
        <w:t>e soprattutto dei fondi che lo sostengono</w:t>
      </w:r>
      <w:r w:rsidRPr="001F667B">
        <w:rPr>
          <w:rFonts w:ascii="Century Gothic" w:hAnsi="Century Gothic"/>
          <w:i/>
          <w:sz w:val="20"/>
          <w:szCs w:val="20"/>
        </w:rPr>
        <w:t>. In coerenza col Piano</w:t>
      </w:r>
      <w:proofErr w:type="gramStart"/>
      <w:r w:rsidRPr="001F667B">
        <w:rPr>
          <w:rFonts w:ascii="Century Gothic" w:hAnsi="Century Gothic"/>
          <w:i/>
          <w:sz w:val="20"/>
          <w:szCs w:val="20"/>
        </w:rPr>
        <w:t xml:space="preserve">  </w:t>
      </w:r>
      <w:proofErr w:type="gramEnd"/>
      <w:r w:rsidRPr="001F667B">
        <w:rPr>
          <w:rFonts w:ascii="Century Gothic" w:hAnsi="Century Gothic"/>
          <w:i/>
          <w:sz w:val="20"/>
          <w:szCs w:val="20"/>
        </w:rPr>
        <w:t>dell’Economia Circolare e richiamando la gerarchia dei rifiuti della Direttiva europea quadro 2008/98/CE, la Commissione fornisce una guida per gli Stati dell'Unione su come</w:t>
      </w:r>
      <w:r w:rsidRPr="001F667B">
        <w:rPr>
          <w:rStyle w:val="apple-converted-space"/>
          <w:rFonts w:ascii="Century Gothic" w:hAnsi="Century Gothic"/>
          <w:i/>
          <w:sz w:val="20"/>
          <w:szCs w:val="20"/>
        </w:rPr>
        <w:t> </w:t>
      </w:r>
      <w:r w:rsidRPr="001F667B">
        <w:rPr>
          <w:rFonts w:ascii="Century Gothic" w:hAnsi="Century Gothic"/>
          <w:bCs/>
          <w:i/>
          <w:sz w:val="20"/>
          <w:szCs w:val="20"/>
          <w:bdr w:val="none" w:sz="0" w:space="0" w:color="auto" w:frame="1"/>
        </w:rPr>
        <w:t>assicurare un’equilibrata capacità di energia da rifiuti (EFW) che eviti di danneggiare lo sviluppo di un'economia circolare</w:t>
      </w:r>
      <w:r w:rsidRPr="001F667B">
        <w:rPr>
          <w:rFonts w:ascii="Century Gothic" w:hAnsi="Century Gothic"/>
          <w:i/>
          <w:sz w:val="20"/>
          <w:szCs w:val="20"/>
        </w:rPr>
        <w:t xml:space="preserve">. </w:t>
      </w:r>
      <w:r w:rsidRPr="001F667B">
        <w:rPr>
          <w:rFonts w:ascii="Century Gothic" w:hAnsi="Century Gothic"/>
          <w:b/>
          <w:i/>
          <w:sz w:val="20"/>
          <w:szCs w:val="20"/>
        </w:rPr>
        <w:t xml:space="preserve">In sostanza si riafferma che l’incenerimento (fase </w:t>
      </w:r>
      <w:proofErr w:type="gramStart"/>
      <w:r w:rsidRPr="001F667B">
        <w:rPr>
          <w:rFonts w:ascii="Century Gothic" w:hAnsi="Century Gothic"/>
          <w:b/>
          <w:i/>
          <w:sz w:val="20"/>
          <w:szCs w:val="20"/>
        </w:rPr>
        <w:t>4</w:t>
      </w:r>
      <w:proofErr w:type="gramEnd"/>
      <w:r w:rsidRPr="001F667B">
        <w:rPr>
          <w:rFonts w:ascii="Century Gothic" w:hAnsi="Century Gothic"/>
          <w:b/>
          <w:i/>
          <w:sz w:val="20"/>
          <w:szCs w:val="20"/>
        </w:rPr>
        <w:t xml:space="preserve"> delle gerarchia) è antagonista alla priorità strategica di riduzione e recupero dei rifiuti (le prime tre fasi) e pertanto </w:t>
      </w:r>
      <w:r w:rsidRPr="001F667B">
        <w:rPr>
          <w:rFonts w:ascii="Century Gothic" w:hAnsi="Century Gothic"/>
          <w:b/>
          <w:bCs/>
          <w:i/>
          <w:sz w:val="20"/>
          <w:szCs w:val="20"/>
          <w:bdr w:val="none" w:sz="0" w:space="0" w:color="auto" w:frame="1"/>
        </w:rPr>
        <w:t>il ruolo futuro dell’incenerimento viene fortemente ridimensionato rispetto alla situazione attuale</w:t>
      </w:r>
      <w:r w:rsidRPr="001F667B">
        <w:rPr>
          <w:rFonts w:ascii="Century Gothic" w:hAnsi="Century Gothic"/>
          <w:b/>
          <w:i/>
          <w:sz w:val="20"/>
          <w:szCs w:val="20"/>
        </w:rPr>
        <w:t xml:space="preserve">, con un invito a considerare con attenzione i piani futuri di nuovi inceneritori e le relative politiche di finanziamento.  La Commissione </w:t>
      </w:r>
      <w:proofErr w:type="gramStart"/>
      <w:r w:rsidRPr="001F667B">
        <w:rPr>
          <w:rFonts w:ascii="Century Gothic" w:hAnsi="Century Gothic"/>
          <w:b/>
          <w:i/>
          <w:sz w:val="20"/>
          <w:szCs w:val="20"/>
        </w:rPr>
        <w:t>sottolinea</w:t>
      </w:r>
      <w:proofErr w:type="gramEnd"/>
      <w:r w:rsidRPr="001F667B">
        <w:rPr>
          <w:rFonts w:ascii="Century Gothic" w:hAnsi="Century Gothic"/>
          <w:b/>
          <w:i/>
          <w:sz w:val="20"/>
          <w:szCs w:val="20"/>
        </w:rPr>
        <w:t xml:space="preserve"> inoltre la</w:t>
      </w:r>
      <w:r w:rsidRPr="001F667B">
        <w:rPr>
          <w:rStyle w:val="apple-converted-space"/>
          <w:rFonts w:ascii="Century Gothic" w:hAnsi="Century Gothic"/>
          <w:b/>
          <w:i/>
          <w:sz w:val="20"/>
          <w:szCs w:val="20"/>
          <w:bdr w:val="none" w:sz="0" w:space="0" w:color="auto" w:frame="1"/>
        </w:rPr>
        <w:t> </w:t>
      </w:r>
      <w:r w:rsidRPr="001F667B">
        <w:rPr>
          <w:rFonts w:ascii="Century Gothic" w:hAnsi="Century Gothic"/>
          <w:b/>
          <w:i/>
          <w:sz w:val="20"/>
          <w:szCs w:val="20"/>
          <w:bdr w:val="none" w:sz="0" w:space="0" w:color="auto" w:frame="1"/>
        </w:rPr>
        <w:t>presenza di un eccesso di capacità di incenerimento che già oggi riguarda molti Paesi e zone d’Europa</w:t>
      </w:r>
      <w:r w:rsidRPr="001F667B">
        <w:rPr>
          <w:rFonts w:ascii="Century Gothic" w:hAnsi="Century Gothic"/>
          <w:b/>
          <w:i/>
          <w:sz w:val="20"/>
          <w:szCs w:val="20"/>
        </w:rPr>
        <w:t xml:space="preserve">. Per queste situazioni la Comunicazione suggerisce l’adozione di una serie di strumenti quali </w:t>
      </w:r>
      <w:r w:rsidRPr="001F667B">
        <w:rPr>
          <w:rFonts w:ascii="Century Gothic" w:hAnsi="Century Gothic"/>
          <w:b/>
          <w:bCs/>
          <w:i/>
          <w:sz w:val="20"/>
          <w:szCs w:val="20"/>
        </w:rPr>
        <w:t>la tassazione dell’incenerimento, l’abrogazione dei sussidi, la moratoria sulla costruzione di nuovi inceneritori e lo spegnimento progressivo di quelli esistenti</w:t>
      </w:r>
      <w:r w:rsidRPr="001F667B">
        <w:rPr>
          <w:rFonts w:ascii="Century Gothic" w:hAnsi="Century Gothic"/>
          <w:b/>
          <w:i/>
          <w:sz w:val="20"/>
          <w:szCs w:val="20"/>
        </w:rPr>
        <w:t>. Incidentalmente,</w:t>
      </w:r>
      <w:r w:rsidRPr="001F667B">
        <w:rPr>
          <w:rStyle w:val="apple-converted-space"/>
          <w:rFonts w:ascii="Century Gothic" w:hAnsi="Century Gothic"/>
          <w:b/>
          <w:bCs/>
          <w:i/>
          <w:sz w:val="20"/>
          <w:szCs w:val="20"/>
          <w:bdr w:val="none" w:sz="0" w:space="0" w:color="auto" w:frame="1"/>
        </w:rPr>
        <w:t> </w:t>
      </w:r>
      <w:r w:rsidRPr="001F667B">
        <w:rPr>
          <w:rFonts w:ascii="Century Gothic" w:hAnsi="Century Gothic"/>
          <w:b/>
          <w:bCs/>
          <w:i/>
          <w:sz w:val="20"/>
          <w:szCs w:val="20"/>
          <w:bdr w:val="none" w:sz="0" w:space="0" w:color="auto" w:frame="1"/>
        </w:rPr>
        <w:t xml:space="preserve">l'Italia è elencata (con Svezia, Olanda, Germania, Francia </w:t>
      </w:r>
      <w:proofErr w:type="gramStart"/>
      <w:r w:rsidRPr="001F667B">
        <w:rPr>
          <w:rFonts w:ascii="Century Gothic" w:hAnsi="Century Gothic"/>
          <w:b/>
          <w:bCs/>
          <w:i/>
          <w:sz w:val="20"/>
          <w:szCs w:val="20"/>
          <w:bdr w:val="none" w:sz="0" w:space="0" w:color="auto" w:frame="1"/>
        </w:rPr>
        <w:t>ed</w:t>
      </w:r>
      <w:proofErr w:type="gramEnd"/>
      <w:r w:rsidRPr="001F667B">
        <w:rPr>
          <w:rFonts w:ascii="Century Gothic" w:hAnsi="Century Gothic"/>
          <w:b/>
          <w:bCs/>
          <w:i/>
          <w:sz w:val="20"/>
          <w:szCs w:val="20"/>
          <w:bdr w:val="none" w:sz="0" w:space="0" w:color="auto" w:frame="1"/>
        </w:rPr>
        <w:t xml:space="preserve"> altri) tra i Paesi che hanno molti inceneritori</w:t>
      </w:r>
      <w:r w:rsidRPr="001F667B">
        <w:rPr>
          <w:rFonts w:ascii="Century Gothic" w:hAnsi="Century Gothic"/>
          <w:b/>
          <w:i/>
          <w:sz w:val="20"/>
          <w:szCs w:val="20"/>
        </w:rPr>
        <w:t>,</w:t>
      </w:r>
      <w:r w:rsidRPr="001F667B">
        <w:rPr>
          <w:rFonts w:ascii="Century Gothic" w:hAnsi="Century Gothic"/>
          <w:sz w:val="20"/>
          <w:szCs w:val="20"/>
        </w:rPr>
        <w:t xml:space="preserve"> [con sottinteso riferimento, in particolare, alla Regione Lombardia dove sono operativi 13 inceneritori già oggi ampiamente sovradimensionati rispetto al fabbisogno]. </w:t>
      </w:r>
    </w:p>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 xml:space="preserve">Una </w:t>
      </w:r>
      <w:proofErr w:type="gramStart"/>
      <w:r w:rsidRPr="001F667B">
        <w:rPr>
          <w:rFonts w:ascii="Century Gothic" w:hAnsi="Century Gothic"/>
          <w:sz w:val="20"/>
          <w:szCs w:val="20"/>
        </w:rPr>
        <w:t>componente</w:t>
      </w:r>
      <w:proofErr w:type="gramEnd"/>
      <w:r w:rsidRPr="001F667B">
        <w:rPr>
          <w:rFonts w:ascii="Century Gothic" w:hAnsi="Century Gothic"/>
          <w:sz w:val="20"/>
          <w:szCs w:val="20"/>
        </w:rPr>
        <w:t xml:space="preserve"> fondamentale dei rifiuti inceneriti è la plastica, anche se non è dato sapere la composizione merceologica dei rifiuti inviati all’inceneritore A2A: le slides dei professori non dicono nulla in proposito, pur essendo questa un’informazione fondamentale nel quadro di quanto auspicato per l’economia circolare. </w:t>
      </w:r>
    </w:p>
    <w:p w:rsidR="009F1770" w:rsidRPr="001F667B" w:rsidRDefault="009F1770" w:rsidP="001F667B">
      <w:pPr>
        <w:jc w:val="both"/>
        <w:rPr>
          <w:rFonts w:ascii="Century Gothic" w:hAnsi="Century Gothic"/>
          <w:sz w:val="20"/>
          <w:szCs w:val="20"/>
          <w:lang w:val="en-GB"/>
        </w:rPr>
      </w:pPr>
      <w:r w:rsidRPr="001F667B">
        <w:rPr>
          <w:rFonts w:ascii="Century Gothic" w:hAnsi="Century Gothic"/>
          <w:sz w:val="20"/>
          <w:szCs w:val="20"/>
        </w:rPr>
        <w:t xml:space="preserve">Il 16 gennaio 2018 è uscito il Documento conclusivo della Commissione europea proprio sulla plastica, </w:t>
      </w:r>
      <w:r w:rsidRPr="001F667B">
        <w:rPr>
          <w:rFonts w:ascii="Century Gothic" w:hAnsi="Century Gothic"/>
          <w:bCs/>
          <w:i/>
          <w:iCs/>
          <w:sz w:val="20"/>
          <w:szCs w:val="20"/>
        </w:rPr>
        <w:t xml:space="preserve">A European </w:t>
      </w:r>
      <w:proofErr w:type="spellStart"/>
      <w:r w:rsidRPr="001F667B">
        <w:rPr>
          <w:rFonts w:ascii="Century Gothic" w:hAnsi="Century Gothic"/>
          <w:bCs/>
          <w:i/>
          <w:iCs/>
          <w:sz w:val="20"/>
          <w:szCs w:val="20"/>
        </w:rPr>
        <w:t>Strategy</w:t>
      </w:r>
      <w:proofErr w:type="spellEnd"/>
      <w:r w:rsidRPr="001F667B">
        <w:rPr>
          <w:rFonts w:ascii="Century Gothic" w:hAnsi="Century Gothic"/>
          <w:bCs/>
          <w:i/>
          <w:iCs/>
          <w:sz w:val="20"/>
          <w:szCs w:val="20"/>
        </w:rPr>
        <w:t xml:space="preserve"> for </w:t>
      </w:r>
      <w:proofErr w:type="spellStart"/>
      <w:r w:rsidRPr="001F667B">
        <w:rPr>
          <w:rFonts w:ascii="Century Gothic" w:hAnsi="Century Gothic"/>
          <w:bCs/>
          <w:i/>
          <w:iCs/>
          <w:sz w:val="20"/>
          <w:szCs w:val="20"/>
        </w:rPr>
        <w:t>Plastics</w:t>
      </w:r>
      <w:proofErr w:type="spellEnd"/>
      <w:r w:rsidRPr="001F667B">
        <w:rPr>
          <w:rFonts w:ascii="Century Gothic" w:hAnsi="Century Gothic"/>
          <w:bCs/>
          <w:i/>
          <w:iCs/>
          <w:sz w:val="20"/>
          <w:szCs w:val="20"/>
        </w:rPr>
        <w:t xml:space="preserve"> </w:t>
      </w:r>
      <w:proofErr w:type="gramStart"/>
      <w:r w:rsidRPr="001F667B">
        <w:rPr>
          <w:rFonts w:ascii="Century Gothic" w:hAnsi="Century Gothic"/>
          <w:bCs/>
          <w:i/>
          <w:iCs/>
          <w:sz w:val="20"/>
          <w:szCs w:val="20"/>
        </w:rPr>
        <w:t>in a</w:t>
      </w:r>
      <w:proofErr w:type="gramEnd"/>
      <w:r w:rsidRPr="001F667B">
        <w:rPr>
          <w:rFonts w:ascii="Century Gothic" w:hAnsi="Century Gothic"/>
          <w:bCs/>
          <w:i/>
          <w:iCs/>
          <w:sz w:val="20"/>
          <w:szCs w:val="20"/>
        </w:rPr>
        <w:t xml:space="preserve"> </w:t>
      </w:r>
      <w:proofErr w:type="spellStart"/>
      <w:r w:rsidRPr="001F667B">
        <w:rPr>
          <w:rFonts w:ascii="Century Gothic" w:hAnsi="Century Gothic"/>
          <w:bCs/>
          <w:i/>
          <w:iCs/>
          <w:sz w:val="20"/>
          <w:szCs w:val="20"/>
        </w:rPr>
        <w:t>Circular</w:t>
      </w:r>
      <w:proofErr w:type="spellEnd"/>
      <w:r w:rsidRPr="001F667B">
        <w:rPr>
          <w:rFonts w:ascii="Century Gothic" w:hAnsi="Century Gothic"/>
          <w:bCs/>
          <w:i/>
          <w:iCs/>
          <w:sz w:val="20"/>
          <w:szCs w:val="20"/>
        </w:rPr>
        <w:t xml:space="preserve"> Economy</w:t>
      </w:r>
      <w:r w:rsidRPr="001F667B">
        <w:rPr>
          <w:rFonts w:ascii="Century Gothic" w:hAnsi="Century Gothic"/>
          <w:bCs/>
          <w:iCs/>
          <w:sz w:val="20"/>
          <w:szCs w:val="20"/>
        </w:rPr>
        <w:t xml:space="preserve">: innanzitutto si denuncia l’importante contributo alla produzione dei gas serra dell’incenerimento della plastica, pari a circa 400 milioni di tonnellate annue, </w:t>
      </w:r>
      <w:r w:rsidRPr="001F667B">
        <w:rPr>
          <w:rFonts w:ascii="Century Gothic" w:hAnsi="Century Gothic"/>
          <w:i/>
          <w:sz w:val="20"/>
          <w:szCs w:val="20"/>
        </w:rPr>
        <w:t>“</w:t>
      </w:r>
      <w:proofErr w:type="spellStart"/>
      <w:r w:rsidRPr="001F667B">
        <w:rPr>
          <w:rFonts w:ascii="Century Gothic" w:hAnsi="Century Gothic"/>
          <w:i/>
          <w:sz w:val="20"/>
          <w:szCs w:val="20"/>
        </w:rPr>
        <w:t>It</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was</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estimated</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that</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plastics</w:t>
      </w:r>
      <w:proofErr w:type="spellEnd"/>
      <w:r w:rsidRPr="001F667B">
        <w:rPr>
          <w:rFonts w:ascii="Century Gothic" w:hAnsi="Century Gothic"/>
          <w:i/>
          <w:sz w:val="20"/>
          <w:szCs w:val="20"/>
        </w:rPr>
        <w:t xml:space="preserve"> production and the </w:t>
      </w:r>
      <w:proofErr w:type="spellStart"/>
      <w:r w:rsidRPr="001F667B">
        <w:rPr>
          <w:rFonts w:ascii="Century Gothic" w:hAnsi="Century Gothic"/>
          <w:i/>
          <w:sz w:val="20"/>
          <w:szCs w:val="20"/>
        </w:rPr>
        <w:t>incineration</w:t>
      </w:r>
      <w:proofErr w:type="spellEnd"/>
      <w:r w:rsidRPr="001F667B">
        <w:rPr>
          <w:rFonts w:ascii="Century Gothic" w:hAnsi="Century Gothic"/>
          <w:i/>
          <w:sz w:val="20"/>
          <w:szCs w:val="20"/>
        </w:rPr>
        <w:t xml:space="preserve"> of </w:t>
      </w:r>
      <w:proofErr w:type="spellStart"/>
      <w:r w:rsidRPr="001F667B">
        <w:rPr>
          <w:rFonts w:ascii="Century Gothic" w:hAnsi="Century Gothic"/>
          <w:i/>
          <w:sz w:val="20"/>
          <w:szCs w:val="20"/>
        </w:rPr>
        <w:t>plastic</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waste</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give</w:t>
      </w:r>
      <w:proofErr w:type="spellEnd"/>
      <w:r w:rsidRPr="001F667B">
        <w:rPr>
          <w:rFonts w:ascii="Century Gothic" w:hAnsi="Century Gothic"/>
          <w:i/>
          <w:sz w:val="20"/>
          <w:szCs w:val="20"/>
        </w:rPr>
        <w:t xml:space="preserve"> rise </w:t>
      </w:r>
      <w:proofErr w:type="spellStart"/>
      <w:r w:rsidRPr="001F667B">
        <w:rPr>
          <w:rFonts w:ascii="Century Gothic" w:hAnsi="Century Gothic"/>
          <w:i/>
          <w:sz w:val="20"/>
          <w:szCs w:val="20"/>
        </w:rPr>
        <w:t>globally</w:t>
      </w:r>
      <w:proofErr w:type="spellEnd"/>
      <w:r w:rsidRPr="001F667B">
        <w:rPr>
          <w:rFonts w:ascii="Century Gothic" w:hAnsi="Century Gothic"/>
          <w:i/>
          <w:sz w:val="20"/>
          <w:szCs w:val="20"/>
        </w:rPr>
        <w:t xml:space="preserve"> to </w:t>
      </w:r>
      <w:proofErr w:type="spellStart"/>
      <w:r w:rsidRPr="001F667B">
        <w:rPr>
          <w:rFonts w:ascii="Century Gothic" w:hAnsi="Century Gothic"/>
          <w:i/>
          <w:sz w:val="20"/>
          <w:szCs w:val="20"/>
        </w:rPr>
        <w:t>approximately</w:t>
      </w:r>
      <w:proofErr w:type="spellEnd"/>
      <w:r w:rsidRPr="001F667B">
        <w:rPr>
          <w:rFonts w:ascii="Century Gothic" w:hAnsi="Century Gothic"/>
          <w:i/>
          <w:sz w:val="20"/>
          <w:szCs w:val="20"/>
        </w:rPr>
        <w:t xml:space="preserve"> 400 </w:t>
      </w:r>
      <w:proofErr w:type="spellStart"/>
      <w:r w:rsidRPr="001F667B">
        <w:rPr>
          <w:rFonts w:ascii="Century Gothic" w:hAnsi="Century Gothic"/>
          <w:i/>
          <w:sz w:val="20"/>
          <w:szCs w:val="20"/>
        </w:rPr>
        <w:t>million</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tonnes</w:t>
      </w:r>
      <w:proofErr w:type="spellEnd"/>
      <w:r w:rsidRPr="001F667B">
        <w:rPr>
          <w:rFonts w:ascii="Century Gothic" w:hAnsi="Century Gothic"/>
          <w:i/>
          <w:sz w:val="20"/>
          <w:szCs w:val="20"/>
        </w:rPr>
        <w:t xml:space="preserve"> of CO</w:t>
      </w:r>
      <w:r w:rsidRPr="001F667B">
        <w:rPr>
          <w:rFonts w:ascii="Century Gothic" w:hAnsi="Century Gothic"/>
          <w:i/>
          <w:sz w:val="20"/>
          <w:szCs w:val="20"/>
          <w:vertAlign w:val="subscript"/>
        </w:rPr>
        <w:t>2</w:t>
      </w:r>
      <w:r w:rsidRPr="001F667B">
        <w:rPr>
          <w:rFonts w:ascii="Century Gothic" w:hAnsi="Century Gothic"/>
          <w:i/>
          <w:sz w:val="20"/>
          <w:szCs w:val="20"/>
        </w:rPr>
        <w:t xml:space="preserve"> a </w:t>
      </w:r>
      <w:proofErr w:type="spellStart"/>
      <w:r w:rsidRPr="001F667B">
        <w:rPr>
          <w:rFonts w:ascii="Century Gothic" w:hAnsi="Century Gothic"/>
          <w:i/>
          <w:sz w:val="20"/>
          <w:szCs w:val="20"/>
        </w:rPr>
        <w:t>year</w:t>
      </w:r>
      <w:proofErr w:type="spellEnd"/>
      <w:r w:rsidRPr="001F667B">
        <w:rPr>
          <w:rFonts w:ascii="Century Gothic" w:hAnsi="Century Gothic"/>
          <w:sz w:val="20"/>
          <w:szCs w:val="20"/>
        </w:rPr>
        <w:t xml:space="preserve">”; da un canto sta diminuendo il conferimento della plastica in discarica, che è il 31% del totale di 25, 8 milioni di tonnellate di plastica prodotti annualmente in Europa, dall’altro è  in crescita l’incenerimento della plastica con il 39%, mentre meno del 30% della plastica viene riciclato. Il </w:t>
      </w:r>
      <w:proofErr w:type="spellStart"/>
      <w:r w:rsidRPr="001F667B">
        <w:rPr>
          <w:rFonts w:ascii="Century Gothic" w:hAnsi="Century Gothic"/>
          <w:sz w:val="20"/>
          <w:szCs w:val="20"/>
        </w:rPr>
        <w:t>documento</w:t>
      </w:r>
      <w:proofErr w:type="gramStart"/>
      <w:r w:rsidRPr="001F667B">
        <w:rPr>
          <w:rFonts w:ascii="Century Gothic" w:hAnsi="Century Gothic"/>
          <w:sz w:val="20"/>
          <w:szCs w:val="20"/>
        </w:rPr>
        <w:t>,</w:t>
      </w:r>
      <w:proofErr w:type="gramEnd"/>
      <w:r w:rsidRPr="001F667B">
        <w:rPr>
          <w:rFonts w:ascii="Century Gothic" w:hAnsi="Century Gothic"/>
          <w:sz w:val="20"/>
          <w:szCs w:val="20"/>
        </w:rPr>
        <w:t>inoltre</w:t>
      </w:r>
      <w:proofErr w:type="spellEnd"/>
      <w:r w:rsidRPr="001F667B">
        <w:rPr>
          <w:rFonts w:ascii="Century Gothic" w:hAnsi="Century Gothic"/>
          <w:sz w:val="20"/>
          <w:szCs w:val="20"/>
        </w:rPr>
        <w:t>, certifica il beneficio di emissioni evitate di CO</w:t>
      </w:r>
      <w:r w:rsidRPr="001F667B">
        <w:rPr>
          <w:rFonts w:ascii="Century Gothic" w:hAnsi="Century Gothic"/>
          <w:sz w:val="20"/>
          <w:szCs w:val="20"/>
          <w:vertAlign w:val="subscript"/>
        </w:rPr>
        <w:t>2</w:t>
      </w:r>
      <w:r w:rsidRPr="001F667B">
        <w:rPr>
          <w:rFonts w:ascii="Century Gothic" w:hAnsi="Century Gothic"/>
          <w:sz w:val="20"/>
          <w:szCs w:val="20"/>
        </w:rPr>
        <w:t xml:space="preserve"> derivante dal riciclo della plastica: ogni milione di tonnellate di plastica riciclata in termini di riduzione delle emissione di CO</w:t>
      </w:r>
      <w:r w:rsidRPr="001F667B">
        <w:rPr>
          <w:rFonts w:ascii="Century Gothic" w:hAnsi="Century Gothic"/>
          <w:sz w:val="20"/>
          <w:szCs w:val="20"/>
          <w:vertAlign w:val="subscript"/>
        </w:rPr>
        <w:t xml:space="preserve">2  </w:t>
      </w:r>
      <w:r w:rsidRPr="001F667B">
        <w:rPr>
          <w:rFonts w:ascii="Century Gothic" w:hAnsi="Century Gothic"/>
          <w:sz w:val="20"/>
          <w:szCs w:val="20"/>
        </w:rPr>
        <w:t>equivale a togliere dalla circolazione un milione di automobili, </w:t>
      </w:r>
      <w:r w:rsidRPr="001F667B">
        <w:rPr>
          <w:rFonts w:ascii="Century Gothic" w:hAnsi="Century Gothic"/>
          <w:i/>
          <w:sz w:val="20"/>
          <w:szCs w:val="20"/>
        </w:rPr>
        <w:t>“</w:t>
      </w:r>
      <w:proofErr w:type="spellStart"/>
      <w:r w:rsidRPr="001F667B">
        <w:rPr>
          <w:rFonts w:ascii="Century Gothic" w:hAnsi="Century Gothic"/>
          <w:i/>
          <w:sz w:val="20"/>
          <w:szCs w:val="20"/>
        </w:rPr>
        <w:t>Recycling</w:t>
      </w:r>
      <w:proofErr w:type="spellEnd"/>
      <w:r w:rsidRPr="001F667B">
        <w:rPr>
          <w:rFonts w:ascii="Century Gothic" w:hAnsi="Century Gothic"/>
          <w:i/>
          <w:sz w:val="20"/>
          <w:szCs w:val="20"/>
        </w:rPr>
        <w:t xml:space="preserve"> 1 </w:t>
      </w:r>
      <w:proofErr w:type="spellStart"/>
      <w:r w:rsidRPr="001F667B">
        <w:rPr>
          <w:rFonts w:ascii="Century Gothic" w:hAnsi="Century Gothic"/>
          <w:i/>
          <w:sz w:val="20"/>
          <w:szCs w:val="20"/>
        </w:rPr>
        <w:t>million</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tonnes</w:t>
      </w:r>
      <w:proofErr w:type="spellEnd"/>
      <w:r w:rsidRPr="001F667B">
        <w:rPr>
          <w:rFonts w:ascii="Century Gothic" w:hAnsi="Century Gothic"/>
          <w:i/>
          <w:sz w:val="20"/>
          <w:szCs w:val="20"/>
        </w:rPr>
        <w:t xml:space="preserve"> of </w:t>
      </w:r>
      <w:proofErr w:type="spellStart"/>
      <w:r w:rsidRPr="001F667B">
        <w:rPr>
          <w:rFonts w:ascii="Century Gothic" w:hAnsi="Century Gothic"/>
          <w:i/>
          <w:sz w:val="20"/>
          <w:szCs w:val="20"/>
        </w:rPr>
        <w:t>plastics</w:t>
      </w:r>
      <w:proofErr w:type="spellEnd"/>
      <w:r w:rsidRPr="001F667B">
        <w:rPr>
          <w:rFonts w:ascii="Century Gothic" w:hAnsi="Century Gothic"/>
          <w:i/>
          <w:sz w:val="20"/>
          <w:szCs w:val="20"/>
        </w:rPr>
        <w:t xml:space="preserve"> =1 </w:t>
      </w:r>
      <w:proofErr w:type="spellStart"/>
      <w:r w:rsidRPr="001F667B">
        <w:rPr>
          <w:rFonts w:ascii="Century Gothic" w:hAnsi="Century Gothic"/>
          <w:i/>
          <w:sz w:val="20"/>
          <w:szCs w:val="20"/>
        </w:rPr>
        <w:t>million</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cars</w:t>
      </w:r>
      <w:proofErr w:type="spellEnd"/>
      <w:r w:rsidRPr="001F667B">
        <w:rPr>
          <w:rFonts w:ascii="Century Gothic" w:hAnsi="Century Gothic"/>
          <w:i/>
          <w:sz w:val="20"/>
          <w:szCs w:val="20"/>
        </w:rPr>
        <w:t xml:space="preserve"> off the road”. </w:t>
      </w:r>
      <w:proofErr w:type="gramStart"/>
      <w:r w:rsidRPr="001F667B">
        <w:rPr>
          <w:rFonts w:ascii="Century Gothic" w:hAnsi="Century Gothic"/>
          <w:sz w:val="20"/>
          <w:szCs w:val="20"/>
        </w:rPr>
        <w:t xml:space="preserve">Infine la potenziale energia risparmiata annualmente avviando al riciclo tutta la plastica prodotta in Europa è equivalente a 3.5 miliardi di barili di olio, </w:t>
      </w:r>
      <w:r w:rsidRPr="001F667B">
        <w:rPr>
          <w:rFonts w:ascii="Century Gothic" w:hAnsi="Century Gothic"/>
          <w:i/>
          <w:sz w:val="20"/>
          <w:szCs w:val="20"/>
        </w:rPr>
        <w:t xml:space="preserve">“Using more </w:t>
      </w:r>
      <w:proofErr w:type="spellStart"/>
      <w:r w:rsidRPr="001F667B">
        <w:rPr>
          <w:rFonts w:ascii="Century Gothic" w:hAnsi="Century Gothic"/>
          <w:i/>
          <w:sz w:val="20"/>
          <w:szCs w:val="20"/>
        </w:rPr>
        <w:t>recycled</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plastics</w:t>
      </w:r>
      <w:proofErr w:type="spellEnd"/>
      <w:r w:rsidRPr="001F667B">
        <w:rPr>
          <w:rFonts w:ascii="Century Gothic" w:hAnsi="Century Gothic"/>
          <w:i/>
          <w:sz w:val="20"/>
          <w:szCs w:val="20"/>
        </w:rPr>
        <w:t xml:space="preserve"> can reduce </w:t>
      </w:r>
      <w:proofErr w:type="spellStart"/>
      <w:r w:rsidRPr="001F667B">
        <w:rPr>
          <w:rFonts w:ascii="Century Gothic" w:hAnsi="Century Gothic"/>
          <w:i/>
          <w:sz w:val="20"/>
          <w:szCs w:val="20"/>
        </w:rPr>
        <w:t>dependence</w:t>
      </w:r>
      <w:proofErr w:type="spellEnd"/>
      <w:r w:rsidRPr="001F667B">
        <w:rPr>
          <w:rFonts w:ascii="Century Gothic" w:hAnsi="Century Gothic"/>
          <w:i/>
          <w:sz w:val="20"/>
          <w:szCs w:val="20"/>
        </w:rPr>
        <w:t xml:space="preserve"> on the </w:t>
      </w:r>
      <w:proofErr w:type="spellStart"/>
      <w:r w:rsidRPr="001F667B">
        <w:rPr>
          <w:rFonts w:ascii="Century Gothic" w:hAnsi="Century Gothic"/>
          <w:i/>
          <w:sz w:val="20"/>
          <w:szCs w:val="20"/>
        </w:rPr>
        <w:t>extraction</w:t>
      </w:r>
      <w:proofErr w:type="spellEnd"/>
      <w:r w:rsidRPr="001F667B">
        <w:rPr>
          <w:rFonts w:ascii="Century Gothic" w:hAnsi="Century Gothic"/>
          <w:i/>
          <w:sz w:val="20"/>
          <w:szCs w:val="20"/>
        </w:rPr>
        <w:t xml:space="preserve"> of </w:t>
      </w:r>
      <w:proofErr w:type="spellStart"/>
      <w:r w:rsidRPr="001F667B">
        <w:rPr>
          <w:rFonts w:ascii="Century Gothic" w:hAnsi="Century Gothic"/>
          <w:i/>
          <w:sz w:val="20"/>
          <w:szCs w:val="20"/>
        </w:rPr>
        <w:t>fossil</w:t>
      </w:r>
      <w:proofErr w:type="spellEnd"/>
      <w:r w:rsidRPr="001F667B">
        <w:rPr>
          <w:rFonts w:ascii="Century Gothic" w:hAnsi="Century Gothic"/>
          <w:i/>
          <w:sz w:val="20"/>
          <w:szCs w:val="20"/>
        </w:rPr>
        <w:t xml:space="preserve"> </w:t>
      </w:r>
      <w:proofErr w:type="spellStart"/>
      <w:r w:rsidRPr="001F667B">
        <w:rPr>
          <w:rFonts w:ascii="Century Gothic" w:hAnsi="Century Gothic"/>
          <w:i/>
          <w:sz w:val="20"/>
          <w:szCs w:val="20"/>
        </w:rPr>
        <w:t>fuels</w:t>
      </w:r>
      <w:proofErr w:type="spellEnd"/>
      <w:r w:rsidRPr="001F667B">
        <w:rPr>
          <w:rFonts w:ascii="Century Gothic" w:hAnsi="Century Gothic"/>
          <w:i/>
          <w:sz w:val="20"/>
          <w:szCs w:val="20"/>
        </w:rPr>
        <w:t xml:space="preserve"> for </w:t>
      </w:r>
      <w:proofErr w:type="spellStart"/>
      <w:r w:rsidRPr="001F667B">
        <w:rPr>
          <w:rFonts w:ascii="Century Gothic" w:hAnsi="Century Gothic"/>
          <w:i/>
          <w:sz w:val="20"/>
          <w:szCs w:val="20"/>
        </w:rPr>
        <w:t>plastics</w:t>
      </w:r>
      <w:proofErr w:type="spellEnd"/>
      <w:r w:rsidRPr="001F667B">
        <w:rPr>
          <w:rFonts w:ascii="Century Gothic" w:hAnsi="Century Gothic"/>
          <w:i/>
          <w:sz w:val="20"/>
          <w:szCs w:val="20"/>
        </w:rPr>
        <w:t xml:space="preserve"> production and </w:t>
      </w:r>
      <w:proofErr w:type="spellStart"/>
      <w:r w:rsidRPr="001F667B">
        <w:rPr>
          <w:rFonts w:ascii="Century Gothic" w:hAnsi="Century Gothic"/>
          <w:i/>
          <w:sz w:val="20"/>
          <w:szCs w:val="20"/>
        </w:rPr>
        <w:t>curb</w:t>
      </w:r>
      <w:proofErr w:type="spellEnd"/>
      <w:r w:rsidRPr="001F667B">
        <w:rPr>
          <w:rFonts w:ascii="Century Gothic" w:hAnsi="Century Gothic"/>
          <w:i/>
          <w:sz w:val="20"/>
          <w:szCs w:val="20"/>
        </w:rPr>
        <w:t xml:space="preserve"> CO</w:t>
      </w:r>
      <w:r w:rsidRPr="001F667B">
        <w:rPr>
          <w:rFonts w:ascii="Century Gothic" w:hAnsi="Century Gothic"/>
          <w:i/>
          <w:sz w:val="20"/>
          <w:szCs w:val="20"/>
          <w:vertAlign w:val="subscript"/>
        </w:rPr>
        <w:t>2</w:t>
      </w:r>
      <w:r w:rsidRPr="001F667B">
        <w:rPr>
          <w:rFonts w:ascii="Century Gothic" w:hAnsi="Century Gothic"/>
          <w:i/>
          <w:sz w:val="20"/>
          <w:szCs w:val="20"/>
        </w:rPr>
        <w:t xml:space="preserve"> </w:t>
      </w:r>
      <w:proofErr w:type="spellStart"/>
      <w:r w:rsidRPr="001F667B">
        <w:rPr>
          <w:rFonts w:ascii="Century Gothic" w:hAnsi="Century Gothic"/>
          <w:i/>
          <w:sz w:val="20"/>
          <w:szCs w:val="20"/>
        </w:rPr>
        <w:t>emissions</w:t>
      </w:r>
      <w:proofErr w:type="spellEnd"/>
      <w:proofErr w:type="gramEnd"/>
      <w:r w:rsidRPr="001F667B">
        <w:rPr>
          <w:rFonts w:ascii="Century Gothic" w:hAnsi="Century Gothic"/>
          <w:i/>
          <w:sz w:val="20"/>
          <w:szCs w:val="20"/>
        </w:rPr>
        <w:t xml:space="preserve">. </w:t>
      </w:r>
      <w:r w:rsidRPr="001F667B">
        <w:rPr>
          <w:rFonts w:ascii="Century Gothic" w:hAnsi="Century Gothic"/>
          <w:i/>
          <w:sz w:val="20"/>
          <w:szCs w:val="20"/>
          <w:lang w:val="en-GB"/>
        </w:rPr>
        <w:t>According to estimates, the potential annual energy savings that could be achieved from recycling all global plastic waste is equivalent to 3.5 billion barrels of oil per year.”</w:t>
      </w:r>
    </w:p>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Com’è evidente in questa nuova visione europea, nell’economia circolare non ci può essere più posto per gli inceneritori che, bruciando la plastica, aumentano le emissioni di CO</w:t>
      </w:r>
      <w:r w:rsidRPr="001F667B">
        <w:rPr>
          <w:rFonts w:ascii="Century Gothic" w:hAnsi="Century Gothic"/>
          <w:sz w:val="20"/>
          <w:szCs w:val="20"/>
          <w:vertAlign w:val="subscript"/>
        </w:rPr>
        <w:t>2</w:t>
      </w:r>
      <w:r w:rsidRPr="001F667B">
        <w:rPr>
          <w:rFonts w:ascii="Century Gothic" w:hAnsi="Century Gothic"/>
          <w:sz w:val="20"/>
          <w:szCs w:val="20"/>
        </w:rPr>
        <w:t xml:space="preserve"> con uno spreco energetico maggiore se confrontato col riciclo. Ma ci si può attendere che indicazioni analoghe seguiranno da parte dell’Ue nell’ambito della strategia della </w:t>
      </w:r>
      <w:proofErr w:type="spellStart"/>
      <w:r w:rsidRPr="001F667B">
        <w:rPr>
          <w:rFonts w:ascii="Century Gothic" w:hAnsi="Century Gothic"/>
          <w:i/>
          <w:sz w:val="20"/>
          <w:szCs w:val="20"/>
        </w:rPr>
        <w:t>circular</w:t>
      </w:r>
      <w:proofErr w:type="spellEnd"/>
      <w:r w:rsidRPr="001F667B">
        <w:rPr>
          <w:rFonts w:ascii="Century Gothic" w:hAnsi="Century Gothic"/>
          <w:i/>
          <w:sz w:val="20"/>
          <w:szCs w:val="20"/>
        </w:rPr>
        <w:t xml:space="preserve"> economy</w:t>
      </w:r>
      <w:r w:rsidRPr="001F667B">
        <w:rPr>
          <w:rFonts w:ascii="Century Gothic" w:hAnsi="Century Gothic"/>
          <w:sz w:val="20"/>
          <w:szCs w:val="20"/>
        </w:rPr>
        <w:t xml:space="preserve">, anche per le altre </w:t>
      </w:r>
      <w:proofErr w:type="gramStart"/>
      <w:r w:rsidRPr="001F667B">
        <w:rPr>
          <w:rFonts w:ascii="Century Gothic" w:hAnsi="Century Gothic"/>
          <w:sz w:val="20"/>
          <w:szCs w:val="20"/>
        </w:rPr>
        <w:t>componenti</w:t>
      </w:r>
      <w:proofErr w:type="gramEnd"/>
      <w:r w:rsidRPr="001F667B">
        <w:rPr>
          <w:rFonts w:ascii="Century Gothic" w:hAnsi="Century Gothic"/>
          <w:sz w:val="20"/>
          <w:szCs w:val="20"/>
        </w:rPr>
        <w:t xml:space="preserve"> combustibili dei rifiuti, essenziali per alimentare gli inceneritori, i materiali di carta, di cartone  e di legno, peraltro facilmente riciclabili. </w:t>
      </w:r>
    </w:p>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Ma a Brescia, come si evidenzia dallo studio dei professori, per quanto riguarda i risultati in termini di emissioni di CO</w:t>
      </w:r>
      <w:r w:rsidRPr="001F667B">
        <w:rPr>
          <w:rFonts w:ascii="Century Gothic" w:hAnsi="Century Gothic"/>
          <w:sz w:val="20"/>
          <w:szCs w:val="20"/>
          <w:vertAlign w:val="subscript"/>
        </w:rPr>
        <w:t>2</w:t>
      </w:r>
      <w:r w:rsidRPr="001F667B">
        <w:rPr>
          <w:rFonts w:ascii="Century Gothic" w:hAnsi="Century Gothic"/>
          <w:sz w:val="20"/>
          <w:szCs w:val="20"/>
        </w:rPr>
        <w:t xml:space="preserve"> evitate e di energia risparmiata, si continua a confrontare l’inceneritore con la discarica, e non con il riciclo, e il teleriscaldamento con le caldaie private e non con le nuove tecnologie solari (slides 145-148) esattamente come faceva circa </w:t>
      </w:r>
      <w:proofErr w:type="gramStart"/>
      <w:r w:rsidRPr="001F667B">
        <w:rPr>
          <w:rFonts w:ascii="Century Gothic" w:hAnsi="Century Gothic"/>
          <w:sz w:val="20"/>
          <w:szCs w:val="20"/>
        </w:rPr>
        <w:t>20</w:t>
      </w:r>
      <w:proofErr w:type="gramEnd"/>
      <w:r w:rsidRPr="001F667B">
        <w:rPr>
          <w:rFonts w:ascii="Century Gothic" w:hAnsi="Century Gothic"/>
          <w:sz w:val="20"/>
          <w:szCs w:val="20"/>
        </w:rPr>
        <w:t xml:space="preserve"> anni fa il professor Beretta nel famoso studio commissionato da A2A: </w:t>
      </w:r>
      <w:r w:rsidRPr="001F667B">
        <w:rPr>
          <w:rFonts w:ascii="Century Gothic" w:hAnsi="Century Gothic"/>
          <w:i/>
          <w:sz w:val="20"/>
          <w:szCs w:val="20"/>
        </w:rPr>
        <w:t>Il Termoutilizzatore di rifiuti solidi urbani e assimilabili dell'</w:t>
      </w:r>
      <w:proofErr w:type="spellStart"/>
      <w:r w:rsidRPr="001F667B">
        <w:rPr>
          <w:rFonts w:ascii="Century Gothic" w:hAnsi="Century Gothic"/>
          <w:i/>
          <w:sz w:val="20"/>
          <w:szCs w:val="20"/>
        </w:rPr>
        <w:t>Asm</w:t>
      </w:r>
      <w:proofErr w:type="spellEnd"/>
      <w:r w:rsidRPr="001F667B">
        <w:rPr>
          <w:rFonts w:ascii="Century Gothic" w:hAnsi="Century Gothic"/>
          <w:i/>
          <w:sz w:val="20"/>
          <w:szCs w:val="20"/>
        </w:rPr>
        <w:t xml:space="preserve"> di Brescia: aspetti energetici, tecnologici e ambientali</w:t>
      </w:r>
      <w:r w:rsidRPr="001F667B">
        <w:rPr>
          <w:rFonts w:ascii="Century Gothic" w:hAnsi="Century Gothic"/>
          <w:sz w:val="20"/>
          <w:szCs w:val="20"/>
        </w:rPr>
        <w:t xml:space="preserve">, Quaderni di Sintesi </w:t>
      </w:r>
      <w:proofErr w:type="spellStart"/>
      <w:r w:rsidRPr="001F667B">
        <w:rPr>
          <w:rFonts w:ascii="Century Gothic" w:hAnsi="Century Gothic"/>
          <w:sz w:val="20"/>
          <w:szCs w:val="20"/>
        </w:rPr>
        <w:t>Asm</w:t>
      </w:r>
      <w:proofErr w:type="spellEnd"/>
      <w:r w:rsidRPr="001F667B">
        <w:rPr>
          <w:rFonts w:ascii="Century Gothic" w:hAnsi="Century Gothic"/>
          <w:sz w:val="20"/>
          <w:szCs w:val="20"/>
        </w:rPr>
        <w:t xml:space="preserve"> Brescia </w:t>
      </w:r>
      <w:proofErr w:type="spellStart"/>
      <w:r w:rsidRPr="001F667B">
        <w:rPr>
          <w:rFonts w:ascii="Century Gothic" w:hAnsi="Century Gothic"/>
          <w:sz w:val="20"/>
          <w:szCs w:val="20"/>
        </w:rPr>
        <w:t>SpA</w:t>
      </w:r>
      <w:proofErr w:type="spellEnd"/>
      <w:r w:rsidRPr="001F667B">
        <w:rPr>
          <w:rFonts w:ascii="Century Gothic" w:hAnsi="Century Gothic"/>
          <w:sz w:val="20"/>
          <w:szCs w:val="20"/>
        </w:rPr>
        <w:t>, Vol. 54, Brescia 2000. Come se in questi venti anni non fossero cambiati radicalmente i paradigmi</w:t>
      </w:r>
      <w:proofErr w:type="gramStart"/>
      <w:r w:rsidRPr="001F667B">
        <w:rPr>
          <w:rFonts w:ascii="Century Gothic" w:hAnsi="Century Gothic"/>
          <w:sz w:val="20"/>
          <w:szCs w:val="20"/>
        </w:rPr>
        <w:t xml:space="preserve">  </w:t>
      </w:r>
      <w:proofErr w:type="gramEnd"/>
      <w:r w:rsidRPr="001F667B">
        <w:rPr>
          <w:rFonts w:ascii="Century Gothic" w:hAnsi="Century Gothic"/>
          <w:sz w:val="20"/>
          <w:szCs w:val="20"/>
        </w:rPr>
        <w:t xml:space="preserve">e le tecnologie energetiche, nonché le strategie per la corretta gestione dei rifiuti. </w:t>
      </w:r>
    </w:p>
    <w:p w:rsidR="009F1770" w:rsidRPr="001F667B" w:rsidRDefault="009F1770" w:rsidP="001F667B">
      <w:pPr>
        <w:jc w:val="both"/>
        <w:rPr>
          <w:rFonts w:ascii="Century Gothic" w:hAnsi="Century Gothic"/>
          <w:sz w:val="20"/>
          <w:szCs w:val="20"/>
        </w:rPr>
      </w:pPr>
      <w:r w:rsidRPr="001F667B">
        <w:rPr>
          <w:rFonts w:ascii="Century Gothic" w:hAnsi="Century Gothic"/>
          <w:sz w:val="20"/>
          <w:szCs w:val="20"/>
        </w:rPr>
        <w:t xml:space="preserve">Questi professori </w:t>
      </w:r>
      <w:proofErr w:type="gramStart"/>
      <w:r w:rsidRPr="001F667B">
        <w:rPr>
          <w:rFonts w:ascii="Century Gothic" w:hAnsi="Century Gothic"/>
          <w:sz w:val="20"/>
          <w:szCs w:val="20"/>
        </w:rPr>
        <w:t>sembra</w:t>
      </w:r>
      <w:proofErr w:type="gramEnd"/>
      <w:r w:rsidRPr="001F667B">
        <w:rPr>
          <w:rFonts w:ascii="Century Gothic" w:hAnsi="Century Gothic"/>
          <w:sz w:val="20"/>
          <w:szCs w:val="20"/>
        </w:rPr>
        <w:t xml:space="preserve"> siano rimasti ibernati per un ventennio e non si siano accorti di quante innovazioni siano nel frattempo intervenute!</w:t>
      </w:r>
    </w:p>
    <w:p w:rsidR="009F1770" w:rsidRPr="001F667B" w:rsidRDefault="009F1770" w:rsidP="001F667B">
      <w:pPr>
        <w:jc w:val="both"/>
        <w:rPr>
          <w:rFonts w:ascii="Century Gothic" w:hAnsi="Century Gothic"/>
          <w:sz w:val="20"/>
          <w:szCs w:val="20"/>
        </w:rPr>
      </w:pPr>
      <w:r>
        <w:rPr>
          <w:rFonts w:ascii="Century Gothic" w:hAnsi="Century Gothic"/>
          <w:sz w:val="20"/>
          <w:szCs w:val="20"/>
        </w:rPr>
        <w:t>Q</w:t>
      </w:r>
      <w:r w:rsidRPr="001F667B">
        <w:rPr>
          <w:rFonts w:ascii="Century Gothic" w:hAnsi="Century Gothic"/>
          <w:sz w:val="20"/>
          <w:szCs w:val="20"/>
        </w:rPr>
        <w:t xml:space="preserve">uesta strategia, indicata </w:t>
      </w:r>
      <w:proofErr w:type="spellStart"/>
      <w:proofErr w:type="gramStart"/>
      <w:r w:rsidRPr="001F667B">
        <w:rPr>
          <w:rFonts w:ascii="Century Gothic" w:hAnsi="Century Gothic"/>
          <w:sz w:val="20"/>
          <w:szCs w:val="20"/>
        </w:rPr>
        <w:t>dal’</w:t>
      </w:r>
      <w:proofErr w:type="gramEnd"/>
      <w:r w:rsidRPr="001F667B">
        <w:rPr>
          <w:rFonts w:ascii="Century Gothic" w:hAnsi="Century Gothic"/>
          <w:sz w:val="20"/>
          <w:szCs w:val="20"/>
        </w:rPr>
        <w:t>Ue</w:t>
      </w:r>
      <w:proofErr w:type="spellEnd"/>
      <w:r w:rsidRPr="001F667B">
        <w:rPr>
          <w:rFonts w:ascii="Century Gothic" w:hAnsi="Century Gothic"/>
          <w:sz w:val="20"/>
          <w:szCs w:val="20"/>
        </w:rPr>
        <w:t xml:space="preserve"> ormai da qualche anno, nello studio dei professori viene del tutto ignorata, mentre alle slides 10 e s. si cita ampiamente una ormai vecchia direttiva europea a proposito del Teleriscaldamento (Direttiva 2012/27/Ue).</w:t>
      </w:r>
    </w:p>
    <w:p w:rsidR="009F1770" w:rsidRPr="001F667B" w:rsidRDefault="009F1770" w:rsidP="001F667B">
      <w:pPr>
        <w:jc w:val="both"/>
        <w:rPr>
          <w:rFonts w:ascii="Century Gothic" w:hAnsi="Century Gothic"/>
          <w:sz w:val="20"/>
          <w:szCs w:val="20"/>
        </w:rPr>
      </w:pPr>
      <w:r>
        <w:rPr>
          <w:rFonts w:ascii="Century Gothic" w:hAnsi="Century Gothic"/>
          <w:sz w:val="20"/>
          <w:szCs w:val="20"/>
        </w:rPr>
        <w:t>A</w:t>
      </w:r>
      <w:r w:rsidRPr="001F667B">
        <w:rPr>
          <w:rFonts w:ascii="Century Gothic" w:hAnsi="Century Gothic"/>
          <w:sz w:val="20"/>
          <w:szCs w:val="20"/>
        </w:rPr>
        <w:t xml:space="preserve">nche in questo caso non ci si confronta con il grande tema dei cambiamenti climatici e con la repentina </w:t>
      </w:r>
      <w:proofErr w:type="gramStart"/>
      <w:r w:rsidRPr="001F667B">
        <w:rPr>
          <w:rFonts w:ascii="Century Gothic" w:hAnsi="Century Gothic"/>
          <w:sz w:val="20"/>
          <w:szCs w:val="20"/>
        </w:rPr>
        <w:t>ed</w:t>
      </w:r>
      <w:proofErr w:type="gramEnd"/>
      <w:r w:rsidRPr="001F667B">
        <w:rPr>
          <w:rFonts w:ascii="Century Gothic" w:hAnsi="Century Gothic"/>
          <w:sz w:val="20"/>
          <w:szCs w:val="20"/>
        </w:rPr>
        <w:t xml:space="preserve"> inattesa accelerazione del surriscaldamento del Pianeta. E’ persino banale ricordare che l’Europa è molto estesa anche in latitudine: va dalla Scandinavia alle nazioni Mediterranee. Negli anni recenti, se a Stoccolma può nevicare anche a maggio, nella Pianura Padana la neve non si vede più neppure a gennaio e con essa non si registrano più temperature fredde. Un sistema centralizzato, rigido e complesso come il teleriscaldamento di Brescia da questo punto di vista ha ancora senso? Oppure, di fatto, come sembra emergere dai dati degli stessi professori, e che vengono in seguito ripresi, è maggiore il caldo sprecato e disperso in ambiente che non quello impiegato? Per tacere del problema che la nostra città presenta da alcuni anni a questa parte, </w:t>
      </w:r>
      <w:proofErr w:type="gramStart"/>
      <w:r w:rsidRPr="001F667B">
        <w:rPr>
          <w:rFonts w:ascii="Century Gothic" w:hAnsi="Century Gothic"/>
          <w:sz w:val="20"/>
          <w:szCs w:val="20"/>
        </w:rPr>
        <w:t>ovvero</w:t>
      </w:r>
      <w:proofErr w:type="gramEnd"/>
      <w:r w:rsidRPr="001F667B">
        <w:rPr>
          <w:rFonts w:ascii="Century Gothic" w:hAnsi="Century Gothic"/>
          <w:sz w:val="20"/>
          <w:szCs w:val="20"/>
        </w:rPr>
        <w:t xml:space="preserve"> il fenomeno “isola di calore” in estate, esasperato dal fatto che la città viene comunque in parte teleriscaldata anche con la canicola: anche in questo caso l’Ue è recentemente intervenuta su questo fenomeno del tutto nuovo con il Progetto UHI (</w:t>
      </w:r>
      <w:r w:rsidRPr="001F667B">
        <w:rPr>
          <w:rFonts w:ascii="Century Gothic" w:hAnsi="Century Gothic"/>
          <w:i/>
          <w:sz w:val="20"/>
          <w:szCs w:val="20"/>
        </w:rPr>
        <w:t>U</w:t>
      </w:r>
      <w:r w:rsidRPr="001F667B">
        <w:rPr>
          <w:rFonts w:ascii="Century Gothic" w:hAnsi="Century Gothic"/>
          <w:bCs/>
          <w:i/>
          <w:iCs/>
          <w:sz w:val="20"/>
          <w:szCs w:val="20"/>
        </w:rPr>
        <w:t>rban Heat Island</w:t>
      </w:r>
      <w:r w:rsidRPr="001F667B">
        <w:rPr>
          <w:rFonts w:ascii="Century Gothic" w:hAnsi="Century Gothic"/>
          <w:bCs/>
          <w:iCs/>
          <w:sz w:val="20"/>
          <w:szCs w:val="20"/>
        </w:rPr>
        <w:t xml:space="preserve"> – Isole di calore urbane), direttamente</w:t>
      </w:r>
      <w:r w:rsidRPr="001F667B">
        <w:rPr>
          <w:rFonts w:ascii="Century Gothic" w:hAnsi="Century Gothic"/>
          <w:bCs/>
          <w:iCs/>
          <w:color w:val="333399"/>
          <w:sz w:val="20"/>
          <w:szCs w:val="20"/>
        </w:rPr>
        <w:t xml:space="preserve"> </w:t>
      </w:r>
      <w:r w:rsidRPr="001F667B">
        <w:rPr>
          <w:rFonts w:ascii="Century Gothic" w:hAnsi="Century Gothic"/>
          <w:sz w:val="20"/>
          <w:szCs w:val="20"/>
        </w:rPr>
        <w:t xml:space="preserve">collegato al (e peggiorato dal) </w:t>
      </w:r>
      <w:r w:rsidRPr="001F667B">
        <w:rPr>
          <w:rFonts w:ascii="Century Gothic" w:hAnsi="Century Gothic"/>
          <w:bCs/>
          <w:sz w:val="20"/>
          <w:szCs w:val="20"/>
        </w:rPr>
        <w:t>cambiamento climatico:</w:t>
      </w:r>
      <w:r w:rsidRPr="001F667B">
        <w:rPr>
          <w:rFonts w:ascii="Century Gothic" w:hAnsi="Century Gothic"/>
          <w:bCs/>
          <w:i/>
          <w:sz w:val="20"/>
          <w:szCs w:val="20"/>
        </w:rPr>
        <w:t xml:space="preserve"> “</w:t>
      </w:r>
      <w:r w:rsidRPr="001F667B">
        <w:rPr>
          <w:rFonts w:ascii="Century Gothic" w:hAnsi="Century Gothic"/>
          <w:i/>
          <w:sz w:val="20"/>
          <w:szCs w:val="20"/>
        </w:rPr>
        <w:t xml:space="preserve">L’aumento della temperatura media a cui stiamo assistendo avrà infatti un effetto ancora maggiore sulla salute delle popolazioni delle città ed in particolare sulle fasce più deboli”. </w:t>
      </w:r>
      <w:r w:rsidRPr="001F667B">
        <w:rPr>
          <w:rFonts w:ascii="Century Gothic" w:hAnsi="Century Gothic"/>
          <w:sz w:val="20"/>
          <w:szCs w:val="20"/>
        </w:rPr>
        <w:t>(</w:t>
      </w:r>
      <w:hyperlink r:id="rId9" w:history="1">
        <w:r w:rsidRPr="001F667B">
          <w:rPr>
            <w:rStyle w:val="Collegamentoipertestuale"/>
            <w:rFonts w:ascii="Century Gothic" w:hAnsi="Century Gothic"/>
            <w:sz w:val="20"/>
            <w:szCs w:val="20"/>
          </w:rPr>
          <w:t>http://eu-uhi.eu/it/focus-del-progetto/</w:t>
        </w:r>
      </w:hyperlink>
      <w:proofErr w:type="gramStart"/>
      <w:r w:rsidRPr="001F667B">
        <w:rPr>
          <w:rFonts w:ascii="Century Gothic" w:hAnsi="Century Gothic"/>
          <w:sz w:val="20"/>
          <w:szCs w:val="20"/>
        </w:rPr>
        <w:t>)</w:t>
      </w:r>
      <w:proofErr w:type="gramEnd"/>
      <w:r w:rsidRPr="001F667B">
        <w:rPr>
          <w:rFonts w:ascii="Century Gothic" w:hAnsi="Century Gothic"/>
          <w:sz w:val="20"/>
          <w:szCs w:val="20"/>
        </w:rPr>
        <w:t>, L’</w:t>
      </w:r>
      <w:proofErr w:type="spellStart"/>
      <w:r w:rsidRPr="001F667B">
        <w:rPr>
          <w:rFonts w:ascii="Century Gothic" w:hAnsi="Century Gothic"/>
          <w:sz w:val="20"/>
          <w:szCs w:val="20"/>
        </w:rPr>
        <w:t>Ats</w:t>
      </w:r>
      <w:proofErr w:type="spellEnd"/>
      <w:r w:rsidRPr="001F667B">
        <w:rPr>
          <w:rFonts w:ascii="Century Gothic" w:hAnsi="Century Gothic"/>
          <w:sz w:val="20"/>
          <w:szCs w:val="20"/>
        </w:rPr>
        <w:t xml:space="preserve"> di Brescia ha recentemente certificato eccessi di morti causate dal surriscaldamento cittadino. Tuttavia anche questo problema grave ed emergente </w:t>
      </w:r>
      <w:proofErr w:type="gramStart"/>
      <w:r w:rsidRPr="001F667B">
        <w:rPr>
          <w:rFonts w:ascii="Century Gothic" w:hAnsi="Century Gothic"/>
          <w:sz w:val="20"/>
          <w:szCs w:val="20"/>
        </w:rPr>
        <w:t>viene</w:t>
      </w:r>
      <w:proofErr w:type="gramEnd"/>
      <w:r w:rsidRPr="001F667B">
        <w:rPr>
          <w:rFonts w:ascii="Century Gothic" w:hAnsi="Century Gothic"/>
          <w:sz w:val="20"/>
          <w:szCs w:val="20"/>
        </w:rPr>
        <w:t xml:space="preserve"> del tutto ignorato dallo studio dei professori.</w:t>
      </w:r>
    </w:p>
    <w:p w:rsidR="009F1770" w:rsidRPr="001F667B" w:rsidRDefault="009F1770" w:rsidP="001F667B">
      <w:pPr>
        <w:jc w:val="both"/>
        <w:rPr>
          <w:rFonts w:ascii="Century Gothic" w:hAnsi="Century Gothic"/>
          <w:b/>
          <w:sz w:val="20"/>
          <w:szCs w:val="20"/>
        </w:rPr>
      </w:pPr>
      <w:r w:rsidRPr="001F667B">
        <w:rPr>
          <w:rFonts w:ascii="Century Gothic" w:hAnsi="Century Gothic"/>
          <w:sz w:val="20"/>
          <w:szCs w:val="20"/>
        </w:rPr>
        <w:t>In conclusione, se</w:t>
      </w:r>
      <w:proofErr w:type="gramStart"/>
      <w:r w:rsidRPr="001F667B">
        <w:rPr>
          <w:rFonts w:ascii="Century Gothic" w:hAnsi="Century Gothic"/>
          <w:sz w:val="20"/>
          <w:szCs w:val="20"/>
        </w:rPr>
        <w:t xml:space="preserve">  </w:t>
      </w:r>
      <w:proofErr w:type="gramEnd"/>
      <w:r w:rsidRPr="001F667B">
        <w:rPr>
          <w:rFonts w:ascii="Century Gothic" w:hAnsi="Century Gothic"/>
          <w:sz w:val="20"/>
          <w:szCs w:val="20"/>
        </w:rPr>
        <w:t>a Firenze o a Roma nessuno si sognerebbe di implementare un sistema simile, di fronte al surriscaldamento climatico sembrerebbe preliminare, invece di limitarsi a citare vecchie direttive europee o casi “virtuosi” come quello di Stoccolma, una ponderata valutazione che indichi  fino a quali latitudini meridionali e con quali temperature medie annue e di picco in inverno è ragionevole oggi mantenere o sviluppare un sistema che fu mutuato dal Nord Europa 40 anni fa.  Non pare che i professori si siano posti questo problema che è dirimente rispetto alle prospettive del “sistema Brescia</w:t>
      </w:r>
      <w:proofErr w:type="gramStart"/>
      <w:r w:rsidRPr="001F667B">
        <w:rPr>
          <w:rFonts w:ascii="Century Gothic" w:hAnsi="Century Gothic"/>
          <w:sz w:val="20"/>
          <w:szCs w:val="20"/>
        </w:rPr>
        <w:t>”</w:t>
      </w:r>
      <w:proofErr w:type="gramEnd"/>
    </w:p>
    <w:p w:rsidR="009F1770" w:rsidRPr="006B4F35" w:rsidRDefault="009F1770" w:rsidP="001F667B">
      <w:pPr>
        <w:jc w:val="both"/>
        <w:rPr>
          <w:rFonts w:ascii="Century Gothic" w:hAnsi="Century Gothic"/>
          <w:sz w:val="20"/>
          <w:szCs w:val="20"/>
        </w:rPr>
      </w:pPr>
      <w:r w:rsidRPr="006B4F35">
        <w:rPr>
          <w:rFonts w:ascii="Century Gothic" w:hAnsi="Century Gothic"/>
          <w:sz w:val="20"/>
          <w:szCs w:val="20"/>
        </w:rPr>
        <w:t xml:space="preserve">Ovviamente quelle strategie e progetti europei sopra richiamati sono stati del tutto ignorati, perché altrimenti sarebbe stato necessario ipotizzare anche uno scenario che prevedesse la fuoriuscita graduale dal sistema, </w:t>
      </w:r>
      <w:proofErr w:type="gramStart"/>
      <w:r w:rsidRPr="006B4F35">
        <w:rPr>
          <w:rFonts w:ascii="Century Gothic" w:hAnsi="Century Gothic"/>
          <w:sz w:val="20"/>
          <w:szCs w:val="20"/>
        </w:rPr>
        <w:t>ovvero</w:t>
      </w:r>
      <w:proofErr w:type="gramEnd"/>
      <w:r w:rsidRPr="006B4F35">
        <w:rPr>
          <w:rFonts w:ascii="Century Gothic" w:hAnsi="Century Gothic"/>
          <w:sz w:val="20"/>
          <w:szCs w:val="20"/>
        </w:rPr>
        <w:t xml:space="preserve"> il tendenziale superamento sia dell’inceneritore che delle centrali termiche, ma anche, contestualmente, dello stesso teleriscaldamento. Insomma </w:t>
      </w:r>
      <w:r w:rsidRPr="006B4F35">
        <w:rPr>
          <w:rFonts w:ascii="Century Gothic" w:hAnsi="Century Gothic"/>
          <w:b/>
          <w:sz w:val="20"/>
          <w:szCs w:val="20"/>
        </w:rPr>
        <w:t>manca l’</w:t>
      </w:r>
      <w:proofErr w:type="gramStart"/>
      <w:r w:rsidRPr="006B4F35">
        <w:rPr>
          <w:rFonts w:ascii="Century Gothic" w:hAnsi="Century Gothic"/>
          <w:b/>
          <w:sz w:val="20"/>
          <w:szCs w:val="20"/>
        </w:rPr>
        <w:t>alternativa</w:t>
      </w:r>
      <w:proofErr w:type="gramEnd"/>
      <w:r w:rsidRPr="006B4F35">
        <w:rPr>
          <w:rFonts w:ascii="Century Gothic" w:hAnsi="Century Gothic"/>
          <w:b/>
          <w:sz w:val="20"/>
          <w:szCs w:val="20"/>
        </w:rPr>
        <w:t xml:space="preserve"> di sistema</w:t>
      </w:r>
      <w:r w:rsidRPr="006B4F35">
        <w:rPr>
          <w:rFonts w:ascii="Century Gothic" w:hAnsi="Century Gothic"/>
          <w:sz w:val="20"/>
          <w:szCs w:val="20"/>
        </w:rPr>
        <w:t xml:space="preserve">, ancorché cadenzata in successivi step: chiusura di una linea dell’inceneritore; alimentazione a solo gas delle centrale a carbone; ristrutturazione energetica dei quartieri periferici con il mix di nuove tecnologie solari e con l’efficientamento energetico indicati rispettivamente  nei capitoli 4 e 5 dei materiali prodotti, il 17 luglio del 2017, dal gruppo di studio del Tavolo Basta veleni, Liberare Brescia dalla combustione di rifiuti e carbone e dal sistema teleriscaldamento, verso la “città solare”. </w:t>
      </w:r>
      <w:hyperlink r:id="rId10" w:history="1">
        <w:r w:rsidRPr="006B4F35">
          <w:rPr>
            <w:rStyle w:val="Collegamentoipertestuale"/>
          </w:rPr>
          <w:t>http://www.ambientebrescia.it/Inceneritore2017TerzaLineaStudio.pdf</w:t>
        </w:r>
      </w:hyperlink>
      <w:r w:rsidRPr="006B4F35">
        <w:rPr>
          <w:rFonts w:ascii="Century Gothic" w:hAnsi="Century Gothic"/>
          <w:sz w:val="20"/>
          <w:szCs w:val="20"/>
        </w:rPr>
        <w:t xml:space="preserve">. Questi quartieri periferici, quindi, resi energeticamente pressoché autosufficienti, potrebbero essere scollegati dal teleriscaldamento, evitando anche l’oneroso futuro rifacimento della rete, dunque riducendo gradualmente l’estensione del teleriscaldamento. </w:t>
      </w:r>
    </w:p>
    <w:p w:rsidR="009F1770" w:rsidRPr="006B4F35" w:rsidRDefault="009F1770" w:rsidP="001F667B">
      <w:pPr>
        <w:jc w:val="both"/>
        <w:rPr>
          <w:rFonts w:ascii="Century Gothic" w:hAnsi="Century Gothic"/>
          <w:sz w:val="20"/>
          <w:szCs w:val="20"/>
        </w:rPr>
      </w:pPr>
      <w:r w:rsidRPr="006B4F35">
        <w:rPr>
          <w:rFonts w:ascii="Century Gothic" w:hAnsi="Century Gothic"/>
          <w:sz w:val="20"/>
          <w:szCs w:val="20"/>
        </w:rPr>
        <w:t>Lo studio, invece, muovendosi dal punto di vista di A2A, in sostanza assume l’intoccabilità del sistema attuale, ipotizzando addirittura un’assurda espansione del teleriscaldamento.</w:t>
      </w:r>
    </w:p>
    <w:p w:rsidR="009F1770" w:rsidRPr="00CE2625" w:rsidRDefault="009F1770" w:rsidP="003D3484">
      <w:pPr>
        <w:jc w:val="both"/>
      </w:pPr>
      <w:r w:rsidRPr="006B4F35">
        <w:rPr>
          <w:rFonts w:ascii="Century Gothic" w:hAnsi="Century Gothic"/>
          <w:sz w:val="20"/>
          <w:szCs w:val="20"/>
        </w:rPr>
        <w:t xml:space="preserve">Questo è il limite </w:t>
      </w:r>
      <w:proofErr w:type="gramStart"/>
      <w:r w:rsidRPr="006B4F35">
        <w:rPr>
          <w:rFonts w:ascii="Century Gothic" w:hAnsi="Century Gothic"/>
          <w:sz w:val="20"/>
          <w:szCs w:val="20"/>
        </w:rPr>
        <w:t>di fondo</w:t>
      </w:r>
      <w:proofErr w:type="gramEnd"/>
      <w:r w:rsidRPr="006B4F35">
        <w:rPr>
          <w:rFonts w:ascii="Century Gothic" w:hAnsi="Century Gothic"/>
          <w:sz w:val="20"/>
          <w:szCs w:val="20"/>
        </w:rPr>
        <w:t xml:space="preserve"> dello studio in questione. </w:t>
      </w:r>
    </w:p>
    <w:p w:rsidR="009F1770" w:rsidRDefault="009F1770" w:rsidP="00CE2625">
      <w:pPr>
        <w:pStyle w:val="Titolo4"/>
      </w:pPr>
      <w:r>
        <w:t xml:space="preserve">2.3 ASPETTI AMBIENTALI </w:t>
      </w:r>
    </w:p>
    <w:p w:rsidR="009F1770" w:rsidRDefault="009F1770" w:rsidP="00AF3EF0">
      <w:pPr>
        <w:jc w:val="both"/>
        <w:rPr>
          <w:rFonts w:ascii="Century Gothic" w:hAnsi="Century Gothic"/>
          <w:sz w:val="20"/>
          <w:szCs w:val="20"/>
        </w:rPr>
      </w:pPr>
    </w:p>
    <w:p w:rsidR="009F1770" w:rsidRPr="00940AE4" w:rsidRDefault="009F1770" w:rsidP="00940AE4">
      <w:pPr>
        <w:jc w:val="both"/>
        <w:rPr>
          <w:rFonts w:ascii="Century Gothic" w:hAnsi="Century Gothic"/>
          <w:sz w:val="20"/>
          <w:szCs w:val="20"/>
        </w:rPr>
      </w:pPr>
      <w:r>
        <w:rPr>
          <w:rFonts w:ascii="Century Gothic" w:hAnsi="Century Gothic"/>
          <w:sz w:val="20"/>
          <w:szCs w:val="20"/>
        </w:rPr>
        <w:t>C</w:t>
      </w:r>
      <w:r w:rsidRPr="00940AE4">
        <w:rPr>
          <w:rFonts w:ascii="Century Gothic" w:hAnsi="Century Gothic"/>
          <w:sz w:val="20"/>
          <w:szCs w:val="20"/>
        </w:rPr>
        <w:t xml:space="preserve">orre l’obbligo di accennare alla questione delle emissioni, in particolare di quelle </w:t>
      </w:r>
      <w:proofErr w:type="gramStart"/>
      <w:r w:rsidRPr="00940AE4">
        <w:rPr>
          <w:rFonts w:ascii="Century Gothic" w:hAnsi="Century Gothic"/>
          <w:sz w:val="20"/>
          <w:szCs w:val="20"/>
        </w:rPr>
        <w:t>ad</w:t>
      </w:r>
      <w:proofErr w:type="gramEnd"/>
      <w:r w:rsidRPr="00940AE4">
        <w:rPr>
          <w:rFonts w:ascii="Century Gothic" w:hAnsi="Century Gothic"/>
          <w:sz w:val="20"/>
          <w:szCs w:val="20"/>
        </w:rPr>
        <w:t xml:space="preserve"> impatto locale sulla qualità dell’aria di Brescia </w:t>
      </w:r>
      <w:r w:rsidRPr="00455792">
        <w:rPr>
          <w:rFonts w:ascii="Century Gothic" w:hAnsi="Century Gothic"/>
          <w:sz w:val="20"/>
          <w:szCs w:val="20"/>
        </w:rPr>
        <w:t>(Della CO</w:t>
      </w:r>
      <w:r w:rsidRPr="00455792">
        <w:rPr>
          <w:rFonts w:ascii="Century Gothic" w:hAnsi="Century Gothic"/>
          <w:sz w:val="20"/>
          <w:szCs w:val="20"/>
          <w:vertAlign w:val="subscript"/>
        </w:rPr>
        <w:t xml:space="preserve">2, </w:t>
      </w:r>
      <w:r w:rsidRPr="00455792">
        <w:rPr>
          <w:rFonts w:ascii="Century Gothic" w:hAnsi="Century Gothic"/>
          <w:sz w:val="20"/>
          <w:szCs w:val="20"/>
        </w:rPr>
        <w:t>oltre a quanto sopra menzionato a proposito dell’economia circolare richiesta dall’Ue, si dirà più avanti</w:t>
      </w:r>
      <w:r w:rsidRPr="00940AE4">
        <w:rPr>
          <w:rFonts w:ascii="Century Gothic" w:hAnsi="Century Gothic"/>
          <w:sz w:val="20"/>
          <w:szCs w:val="20"/>
        </w:rPr>
        <w:t xml:space="preserve">).  </w:t>
      </w:r>
    </w:p>
    <w:p w:rsidR="009F1770" w:rsidRPr="00940AE4" w:rsidRDefault="009F1770" w:rsidP="00940AE4">
      <w:pPr>
        <w:jc w:val="both"/>
        <w:rPr>
          <w:rFonts w:ascii="Century Gothic" w:hAnsi="Century Gothic"/>
          <w:sz w:val="20"/>
          <w:szCs w:val="20"/>
        </w:rPr>
      </w:pPr>
      <w:r w:rsidRPr="00940AE4">
        <w:rPr>
          <w:rFonts w:ascii="Century Gothic" w:hAnsi="Century Gothic"/>
          <w:sz w:val="20"/>
          <w:szCs w:val="20"/>
        </w:rPr>
        <w:t xml:space="preserve">In diverse slides (26-27, 68-73)72, ci si riferisce o alla Provincia o </w:t>
      </w:r>
      <w:proofErr w:type="gramStart"/>
      <w:r w:rsidRPr="00940AE4">
        <w:rPr>
          <w:rFonts w:ascii="Century Gothic" w:hAnsi="Century Gothic"/>
          <w:sz w:val="20"/>
          <w:szCs w:val="20"/>
        </w:rPr>
        <w:t>ad</w:t>
      </w:r>
      <w:proofErr w:type="gramEnd"/>
      <w:r w:rsidRPr="00940AE4">
        <w:rPr>
          <w:rFonts w:ascii="Century Gothic" w:hAnsi="Century Gothic"/>
          <w:sz w:val="20"/>
          <w:szCs w:val="20"/>
        </w:rPr>
        <w:t xml:space="preserve"> un non ben precisato, nelle dimensioni, “agglomerato di Brescia” per indicare percentuali poco significative del contributo emissivo dell’inceneritore e della centrale a carbone. </w:t>
      </w:r>
      <w:proofErr w:type="gramStart"/>
      <w:r w:rsidRPr="00940AE4">
        <w:rPr>
          <w:rFonts w:ascii="Century Gothic" w:hAnsi="Century Gothic"/>
          <w:sz w:val="20"/>
          <w:szCs w:val="20"/>
        </w:rPr>
        <w:t>Ma</w:t>
      </w:r>
      <w:proofErr w:type="gramEnd"/>
      <w:r w:rsidRPr="00940AE4">
        <w:rPr>
          <w:rFonts w:ascii="Century Gothic" w:hAnsi="Century Gothic"/>
          <w:sz w:val="20"/>
          <w:szCs w:val="20"/>
        </w:rPr>
        <w:t xml:space="preserve"> tutti sanno che nei periodi critici per la qualità dell’aria, quelli segnalati dall’Arpa come “favorevoli per l’accumulo degli inquinanti”, quando non c’è vento, c’è alta pressione e, magari, inversione termica, le emissioni ricadono in uno spazio molto ristretto, di pochi chilometri, sulla città.</w:t>
      </w:r>
    </w:p>
    <w:p w:rsidR="009F1770" w:rsidRDefault="009F1770" w:rsidP="00940AE4">
      <w:pPr>
        <w:jc w:val="both"/>
        <w:rPr>
          <w:rFonts w:ascii="Century Gothic" w:hAnsi="Century Gothic"/>
          <w:sz w:val="20"/>
          <w:szCs w:val="20"/>
        </w:rPr>
      </w:pPr>
      <w:r w:rsidRPr="00940AE4">
        <w:rPr>
          <w:rFonts w:ascii="Century Gothic" w:hAnsi="Century Gothic"/>
          <w:sz w:val="20"/>
          <w:szCs w:val="20"/>
        </w:rPr>
        <w:t xml:space="preserve">Vi è, però, </w:t>
      </w:r>
      <w:proofErr w:type="gramStart"/>
      <w:r w:rsidRPr="00940AE4">
        <w:rPr>
          <w:rFonts w:ascii="Century Gothic" w:hAnsi="Century Gothic"/>
          <w:sz w:val="20"/>
          <w:szCs w:val="20"/>
        </w:rPr>
        <w:t>una</w:t>
      </w:r>
      <w:proofErr w:type="gramEnd"/>
      <w:r w:rsidRPr="00940AE4">
        <w:rPr>
          <w:rFonts w:ascii="Century Gothic" w:hAnsi="Century Gothic"/>
          <w:sz w:val="20"/>
          <w:szCs w:val="20"/>
        </w:rPr>
        <w:t xml:space="preserve"> slide, che riporta anche le emissioni ricadenti sulla sola città di Brescia, che vale la pena di riportare per un commento che i professori tralasciano.</w:t>
      </w:r>
    </w:p>
    <w:p w:rsidR="009F1770" w:rsidRPr="00940AE4" w:rsidRDefault="00455792" w:rsidP="00940AE4">
      <w:pPr>
        <w:jc w:val="both"/>
        <w:rPr>
          <w:rFonts w:ascii="Century Gothic" w:hAnsi="Century Gothic"/>
          <w:sz w:val="20"/>
          <w:szCs w:val="20"/>
        </w:rPr>
      </w:pPr>
      <w:r>
        <w:rPr>
          <w:noProof/>
        </w:rPr>
        <w:drawing>
          <wp:inline distT="0" distB="0" distL="0" distR="0">
            <wp:extent cx="2877820" cy="2038350"/>
            <wp:effectExtent l="0" t="0" r="0" b="0"/>
            <wp:docPr id="6" name="Immagine 5" descr="Anon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noni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820" cy="2038350"/>
                    </a:xfrm>
                    <a:prstGeom prst="rect">
                      <a:avLst/>
                    </a:prstGeom>
                    <a:noFill/>
                    <a:ln>
                      <a:noFill/>
                    </a:ln>
                  </pic:spPr>
                </pic:pic>
              </a:graphicData>
            </a:graphic>
          </wp:inline>
        </w:drawing>
      </w:r>
    </w:p>
    <w:p w:rsidR="009F1770" w:rsidRPr="00940AE4" w:rsidRDefault="009F1770" w:rsidP="00940AE4">
      <w:pPr>
        <w:jc w:val="both"/>
        <w:rPr>
          <w:rFonts w:ascii="Century Gothic" w:hAnsi="Century Gothic"/>
          <w:sz w:val="20"/>
          <w:szCs w:val="20"/>
        </w:rPr>
      </w:pPr>
      <w:r w:rsidRPr="00940AE4">
        <w:rPr>
          <w:rFonts w:ascii="Century Gothic" w:hAnsi="Century Gothic"/>
          <w:sz w:val="20"/>
          <w:szCs w:val="20"/>
        </w:rPr>
        <w:t xml:space="preserve"> Prendiamo in considerazione innanzitutto l’emissione più importante ai fini delle PM10 e PM2,5, gli ossidi di azoto (NOx), quella considerata anche dall’Ue come </w:t>
      </w:r>
      <w:proofErr w:type="gramStart"/>
      <w:r w:rsidRPr="00940AE4">
        <w:rPr>
          <w:rFonts w:ascii="Century Gothic" w:hAnsi="Century Gothic"/>
          <w:sz w:val="20"/>
          <w:szCs w:val="20"/>
        </w:rPr>
        <w:t>componente</w:t>
      </w:r>
      <w:proofErr w:type="gramEnd"/>
      <w:r w:rsidRPr="00940AE4">
        <w:rPr>
          <w:rFonts w:ascii="Century Gothic" w:hAnsi="Century Gothic"/>
          <w:sz w:val="20"/>
          <w:szCs w:val="20"/>
        </w:rPr>
        <w:t xml:space="preserve"> essenziale di quello smog atmosferico, dichiarato dall’Oms cancerogeno certo per l’uomo (66.000 morti premature all’anno per l’Italia stimate dall’Ue) e che porta a fine gennaio l’Italia a rischiare una seconda sanzione da parte della Corte di Giustizia europea.</w:t>
      </w:r>
    </w:p>
    <w:p w:rsidR="009F1770" w:rsidRPr="00940AE4" w:rsidRDefault="009F1770" w:rsidP="00940AE4">
      <w:pPr>
        <w:jc w:val="both"/>
        <w:rPr>
          <w:rFonts w:ascii="Century Gothic" w:hAnsi="Century Gothic"/>
          <w:sz w:val="20"/>
          <w:szCs w:val="20"/>
        </w:rPr>
      </w:pPr>
      <w:r w:rsidRPr="00940AE4">
        <w:rPr>
          <w:rFonts w:ascii="Century Gothic" w:hAnsi="Century Gothic"/>
          <w:sz w:val="20"/>
          <w:szCs w:val="20"/>
        </w:rPr>
        <w:t>Come si vede</w:t>
      </w:r>
      <w:r>
        <w:rPr>
          <w:rFonts w:ascii="Century Gothic" w:hAnsi="Century Gothic"/>
          <w:sz w:val="20"/>
          <w:szCs w:val="20"/>
        </w:rPr>
        <w:t>,</w:t>
      </w:r>
      <w:proofErr w:type="gramStart"/>
      <w:r w:rsidRPr="00940AE4">
        <w:rPr>
          <w:rFonts w:ascii="Century Gothic" w:hAnsi="Century Gothic"/>
          <w:sz w:val="20"/>
          <w:szCs w:val="20"/>
        </w:rPr>
        <w:t xml:space="preserve"> ’</w:t>
      </w:r>
      <w:proofErr w:type="gramEnd"/>
      <w:r w:rsidRPr="00940AE4">
        <w:rPr>
          <w:rFonts w:ascii="Century Gothic" w:hAnsi="Century Gothic"/>
          <w:sz w:val="20"/>
          <w:szCs w:val="20"/>
        </w:rPr>
        <w:t xml:space="preserve">inceneritore è innanzitutto di gran lunga la più importante fonte singola di emissioni, quasi pari a tutte le emissioni industriali della città. Se </w:t>
      </w:r>
      <w:proofErr w:type="gramStart"/>
      <w:r w:rsidRPr="00940AE4">
        <w:rPr>
          <w:rFonts w:ascii="Century Gothic" w:hAnsi="Century Gothic"/>
          <w:sz w:val="20"/>
          <w:szCs w:val="20"/>
        </w:rPr>
        <w:t>l’</w:t>
      </w:r>
      <w:proofErr w:type="gramEnd"/>
      <w:r w:rsidRPr="00940AE4">
        <w:rPr>
          <w:rFonts w:ascii="Century Gothic" w:hAnsi="Century Gothic"/>
          <w:sz w:val="20"/>
          <w:szCs w:val="20"/>
        </w:rPr>
        <w:t xml:space="preserve">associamo alla centrale a carbone (287 + 129 = 416 t/a) le emissioni del sistema sono pari a poco meno della metà di tutto il traffico veicolare (1.082 t/a), un’enormità tenendo conto che nel linguaggio corrente lo smog viene sempre imputato a questo comparto emissivo. Comunque vorrebbe dire d’un colpo ridurre di quasi il </w:t>
      </w:r>
      <w:proofErr w:type="gramStart"/>
      <w:r w:rsidRPr="00940AE4">
        <w:rPr>
          <w:rFonts w:ascii="Century Gothic" w:hAnsi="Century Gothic"/>
          <w:sz w:val="20"/>
          <w:szCs w:val="20"/>
        </w:rPr>
        <w:t>20% le</w:t>
      </w:r>
      <w:proofErr w:type="gramEnd"/>
      <w:r w:rsidRPr="00940AE4">
        <w:rPr>
          <w:rFonts w:ascii="Century Gothic" w:hAnsi="Century Gothic"/>
          <w:sz w:val="20"/>
          <w:szCs w:val="20"/>
        </w:rPr>
        <w:t xml:space="preserve"> emissioni totali. Ovviamente qui scatterebbe l’obiezione dei professori, ripresa da un </w:t>
      </w:r>
      <w:proofErr w:type="gramStart"/>
      <w:r w:rsidRPr="00940AE4">
        <w:rPr>
          <w:rFonts w:ascii="Century Gothic" w:hAnsi="Century Gothic"/>
          <w:sz w:val="20"/>
          <w:szCs w:val="20"/>
        </w:rPr>
        <w:t>refrain</w:t>
      </w:r>
      <w:proofErr w:type="gramEnd"/>
      <w:r w:rsidRPr="00940AE4">
        <w:rPr>
          <w:rFonts w:ascii="Century Gothic" w:hAnsi="Century Gothic"/>
          <w:sz w:val="20"/>
          <w:szCs w:val="20"/>
        </w:rPr>
        <w:t xml:space="preserve"> di 30 anni fa: ma con 50 mila caldaiette private le situazione sarebbe peggiore.</w:t>
      </w:r>
    </w:p>
    <w:p w:rsidR="009F1770" w:rsidRPr="00940AE4" w:rsidRDefault="009F1770" w:rsidP="00940AE4">
      <w:pPr>
        <w:jc w:val="both"/>
        <w:rPr>
          <w:rFonts w:ascii="Century Gothic" w:hAnsi="Century Gothic"/>
          <w:sz w:val="20"/>
          <w:szCs w:val="20"/>
        </w:rPr>
      </w:pPr>
      <w:r w:rsidRPr="00940AE4">
        <w:rPr>
          <w:rFonts w:ascii="Century Gothic" w:hAnsi="Century Gothic"/>
          <w:sz w:val="20"/>
          <w:szCs w:val="20"/>
        </w:rPr>
        <w:t xml:space="preserve">Come già si è </w:t>
      </w:r>
      <w:proofErr w:type="gramStart"/>
      <w:r w:rsidRPr="00940AE4">
        <w:rPr>
          <w:rFonts w:ascii="Century Gothic" w:hAnsi="Century Gothic"/>
          <w:sz w:val="20"/>
          <w:szCs w:val="20"/>
        </w:rPr>
        <w:t>detto,</w:t>
      </w:r>
      <w:proofErr w:type="gramEnd"/>
      <w:r w:rsidRPr="00940AE4">
        <w:rPr>
          <w:rFonts w:ascii="Century Gothic" w:hAnsi="Century Gothic"/>
          <w:sz w:val="20"/>
          <w:szCs w:val="20"/>
        </w:rPr>
        <w:t xml:space="preserve"> l’alternativa non sono le caldaie, ma l’efficientamento energetico e le nuove tecnologie solari con emissioni locali vicino allo zero.  </w:t>
      </w:r>
    </w:p>
    <w:p w:rsidR="009F1770" w:rsidRDefault="009F1770" w:rsidP="00940AE4">
      <w:pPr>
        <w:jc w:val="both"/>
        <w:rPr>
          <w:rFonts w:ascii="Century Gothic" w:hAnsi="Century Gothic"/>
          <w:sz w:val="20"/>
          <w:szCs w:val="20"/>
        </w:rPr>
      </w:pPr>
      <w:proofErr w:type="gramStart"/>
      <w:r w:rsidRPr="00940AE4">
        <w:rPr>
          <w:rFonts w:ascii="Century Gothic" w:hAnsi="Century Gothic"/>
          <w:sz w:val="20"/>
          <w:szCs w:val="20"/>
        </w:rPr>
        <w:t>Dunque</w:t>
      </w:r>
      <w:proofErr w:type="gramEnd"/>
      <w:r w:rsidRPr="00940AE4">
        <w:rPr>
          <w:rFonts w:ascii="Century Gothic" w:hAnsi="Century Gothic"/>
          <w:sz w:val="20"/>
          <w:szCs w:val="20"/>
        </w:rPr>
        <w:t xml:space="preserve"> l’impatto ambientale del sistema Brescia è tutt’altro che trascurabile e soprattutto può essere aggredito ed evitato, trattandosi di due singoli impianti e non di centinaia di migliaia di veicoli. Se avessimo un’</w:t>
      </w:r>
      <w:proofErr w:type="spellStart"/>
      <w:r w:rsidRPr="00940AE4">
        <w:rPr>
          <w:rFonts w:ascii="Century Gothic" w:hAnsi="Century Gothic"/>
          <w:sz w:val="20"/>
          <w:szCs w:val="20"/>
        </w:rPr>
        <w:t>Ats</w:t>
      </w:r>
      <w:proofErr w:type="spellEnd"/>
      <w:r w:rsidRPr="00940AE4">
        <w:rPr>
          <w:rFonts w:ascii="Century Gothic" w:hAnsi="Century Gothic"/>
          <w:sz w:val="20"/>
          <w:szCs w:val="20"/>
        </w:rPr>
        <w:t xml:space="preserve"> indipendente, questa potrebbe stimare anche le morti premature evitate con questa consistente riduzione delle emissioni.</w:t>
      </w:r>
    </w:p>
    <w:p w:rsidR="009F1770" w:rsidRPr="00455792" w:rsidRDefault="009F1770" w:rsidP="00E86582">
      <w:pPr>
        <w:jc w:val="both"/>
        <w:rPr>
          <w:rFonts w:ascii="Century Gothic" w:hAnsi="Century Gothic"/>
          <w:sz w:val="20"/>
          <w:szCs w:val="20"/>
        </w:rPr>
      </w:pPr>
      <w:r w:rsidRPr="00455792">
        <w:rPr>
          <w:rFonts w:ascii="Century Gothic" w:hAnsi="Century Gothic"/>
          <w:b/>
          <w:sz w:val="20"/>
          <w:szCs w:val="20"/>
        </w:rPr>
        <w:t>Impatti globali dovuti alla CO2</w:t>
      </w:r>
      <w:r w:rsidR="00455792">
        <w:rPr>
          <w:rFonts w:ascii="Century Gothic" w:hAnsi="Century Gothic"/>
          <w:sz w:val="20"/>
          <w:szCs w:val="20"/>
        </w:rPr>
        <w:t xml:space="preserve"> (</w:t>
      </w:r>
      <w:proofErr w:type="gramStart"/>
      <w:r w:rsidRPr="00455792">
        <w:rPr>
          <w:rFonts w:ascii="Century Gothic" w:hAnsi="Century Gothic"/>
          <w:sz w:val="20"/>
          <w:szCs w:val="20"/>
        </w:rPr>
        <w:t>Slide</w:t>
      </w:r>
      <w:proofErr w:type="gramEnd"/>
      <w:r w:rsidRPr="00455792">
        <w:rPr>
          <w:rFonts w:ascii="Century Gothic" w:hAnsi="Century Gothic"/>
          <w:sz w:val="20"/>
          <w:szCs w:val="20"/>
        </w:rPr>
        <w:t xml:space="preserve"> 145)</w:t>
      </w:r>
    </w:p>
    <w:p w:rsidR="009F1770" w:rsidRDefault="009F1770" w:rsidP="00E86582">
      <w:pPr>
        <w:jc w:val="both"/>
        <w:rPr>
          <w:rFonts w:ascii="Century Gothic" w:hAnsi="Century Gothic"/>
          <w:sz w:val="20"/>
          <w:szCs w:val="20"/>
        </w:rPr>
      </w:pPr>
      <w:r w:rsidRPr="00455792">
        <w:rPr>
          <w:rFonts w:ascii="Century Gothic" w:hAnsi="Century Gothic"/>
          <w:sz w:val="20"/>
          <w:szCs w:val="20"/>
        </w:rPr>
        <w:t>Sembra</w:t>
      </w:r>
      <w:r>
        <w:rPr>
          <w:rFonts w:ascii="Century Gothic" w:hAnsi="Century Gothic"/>
          <w:sz w:val="20"/>
          <w:szCs w:val="20"/>
        </w:rPr>
        <w:t xml:space="preserve"> sorprendente che solo lo scenario B</w:t>
      </w:r>
      <w:r w:rsidRPr="00F2111F">
        <w:rPr>
          <w:rFonts w:ascii="Century Gothic" w:hAnsi="Century Gothic"/>
          <w:sz w:val="20"/>
          <w:szCs w:val="20"/>
        </w:rPr>
        <w:t>, in parte auspicato</w:t>
      </w:r>
      <w:r>
        <w:rPr>
          <w:rFonts w:ascii="Century Gothic" w:hAnsi="Century Gothic"/>
          <w:sz w:val="20"/>
          <w:szCs w:val="20"/>
        </w:rPr>
        <w:t xml:space="preserve"> dagli ambientalisti, incrementi l’energia primaria fossile consumata. Ciò avviene perché si prende come riferimento, la discarica, dove </w:t>
      </w:r>
      <w:proofErr w:type="gramStart"/>
      <w:r>
        <w:rPr>
          <w:rFonts w:ascii="Century Gothic" w:hAnsi="Century Gothic"/>
          <w:sz w:val="20"/>
          <w:szCs w:val="20"/>
        </w:rPr>
        <w:t xml:space="preserve">si </w:t>
      </w:r>
      <w:proofErr w:type="gramEnd"/>
      <w:r>
        <w:rPr>
          <w:rFonts w:ascii="Century Gothic" w:hAnsi="Century Gothic"/>
          <w:sz w:val="20"/>
          <w:szCs w:val="20"/>
        </w:rPr>
        <w:t>ipotizza di conferire i rifiuti non inceneriti ( ?), poi perché aumenterebbe l’uso del carbone, infine perché l’elettricità sarebbe prodotta con centrali termoelettriche con emissioni specifiche di CO2 superiori. Il confronto è scorretto metodologicamente:</w:t>
      </w:r>
    </w:p>
    <w:p w:rsidR="009F1770" w:rsidRDefault="009F1770" w:rsidP="00E86582">
      <w:pPr>
        <w:jc w:val="both"/>
        <w:rPr>
          <w:rFonts w:ascii="Century Gothic" w:hAnsi="Century Gothic"/>
          <w:sz w:val="20"/>
          <w:szCs w:val="20"/>
        </w:rPr>
      </w:pPr>
      <w:r>
        <w:rPr>
          <w:rFonts w:ascii="Century Gothic" w:hAnsi="Century Gothic"/>
          <w:sz w:val="20"/>
          <w:szCs w:val="20"/>
        </w:rPr>
        <w:t>1°) la discarica non può più essere la destinazione dei rifiuti tal quali;</w:t>
      </w:r>
    </w:p>
    <w:p w:rsidR="009F1770" w:rsidRDefault="009F1770" w:rsidP="00E86582">
      <w:pPr>
        <w:jc w:val="both"/>
        <w:rPr>
          <w:rFonts w:ascii="Century Gothic" w:hAnsi="Century Gothic"/>
          <w:sz w:val="20"/>
          <w:szCs w:val="20"/>
        </w:rPr>
      </w:pPr>
      <w:r>
        <w:rPr>
          <w:rFonts w:ascii="Century Gothic" w:hAnsi="Century Gothic"/>
          <w:sz w:val="20"/>
          <w:szCs w:val="20"/>
        </w:rPr>
        <w:t>2°) non si capisce perché sia stato previsto in tale scenario l’uso del carbone a Lamarmora, poiché è policombustibile e può operare a metano;</w:t>
      </w:r>
    </w:p>
    <w:p w:rsidR="009F1770" w:rsidRDefault="009F1770" w:rsidP="00E86582">
      <w:pPr>
        <w:jc w:val="both"/>
        <w:rPr>
          <w:rFonts w:ascii="Century Gothic" w:hAnsi="Century Gothic"/>
          <w:sz w:val="20"/>
          <w:szCs w:val="20"/>
        </w:rPr>
      </w:pPr>
      <w:r>
        <w:rPr>
          <w:rFonts w:ascii="Century Gothic" w:hAnsi="Century Gothic"/>
          <w:sz w:val="20"/>
          <w:szCs w:val="20"/>
        </w:rPr>
        <w:t>3°</w:t>
      </w:r>
      <w:proofErr w:type="gramStart"/>
      <w:r>
        <w:rPr>
          <w:rFonts w:ascii="Century Gothic" w:hAnsi="Century Gothic"/>
          <w:sz w:val="20"/>
          <w:szCs w:val="20"/>
        </w:rPr>
        <w:t>)</w:t>
      </w:r>
      <w:proofErr w:type="gramEnd"/>
      <w:r>
        <w:rPr>
          <w:rFonts w:ascii="Century Gothic" w:hAnsi="Century Gothic"/>
          <w:sz w:val="20"/>
          <w:szCs w:val="20"/>
        </w:rPr>
        <w:t>il mix nazionale non è fatto solo di centrali termoelettriche, ma anche di idraulico, fotovoltaico, eolico, che gli estensori si sono ben guardati dal considerare, per peggiorare lo scenario di chiusura della 3° linea.</w:t>
      </w:r>
    </w:p>
    <w:p w:rsidR="009F1770" w:rsidRPr="00455792" w:rsidRDefault="009F1770" w:rsidP="00E86582">
      <w:pPr>
        <w:jc w:val="both"/>
        <w:rPr>
          <w:rFonts w:ascii="Century Gothic" w:hAnsi="Century Gothic"/>
          <w:sz w:val="20"/>
          <w:szCs w:val="20"/>
        </w:rPr>
      </w:pPr>
      <w:r>
        <w:rPr>
          <w:rFonts w:ascii="Century Gothic" w:hAnsi="Century Gothic"/>
          <w:sz w:val="20"/>
          <w:szCs w:val="20"/>
        </w:rPr>
        <w:t xml:space="preserve">Con queste ipotesi, incredibili a dirsi, lo scenario B che taglia di </w:t>
      </w:r>
      <w:proofErr w:type="gramStart"/>
      <w:r>
        <w:rPr>
          <w:rFonts w:ascii="Century Gothic" w:hAnsi="Century Gothic"/>
          <w:sz w:val="20"/>
          <w:szCs w:val="20"/>
        </w:rPr>
        <w:t>200.000</w:t>
      </w:r>
      <w:proofErr w:type="gramEnd"/>
      <w:r>
        <w:rPr>
          <w:rFonts w:ascii="Century Gothic" w:hAnsi="Century Gothic"/>
          <w:sz w:val="20"/>
          <w:szCs w:val="20"/>
        </w:rPr>
        <w:t xml:space="preserve"> t i rifiuti bruciati, vede </w:t>
      </w:r>
      <w:r w:rsidRPr="00455792">
        <w:rPr>
          <w:rFonts w:ascii="Century Gothic" w:hAnsi="Century Gothic"/>
          <w:sz w:val="20"/>
          <w:szCs w:val="20"/>
        </w:rPr>
        <w:t>(Slide 146, tabella) un incremento della CO2 da trattamento rifiuti!</w:t>
      </w:r>
    </w:p>
    <w:p w:rsidR="009F1770" w:rsidRDefault="009F1770" w:rsidP="00E86582">
      <w:pPr>
        <w:jc w:val="both"/>
        <w:rPr>
          <w:rFonts w:ascii="Century Gothic" w:hAnsi="Century Gothic"/>
          <w:sz w:val="20"/>
          <w:szCs w:val="20"/>
        </w:rPr>
      </w:pPr>
      <w:r w:rsidRPr="00455792">
        <w:rPr>
          <w:rFonts w:ascii="Century Gothic" w:hAnsi="Century Gothic"/>
          <w:sz w:val="20"/>
          <w:szCs w:val="20"/>
        </w:rPr>
        <w:t xml:space="preserve">Fattori di emissione locali (Slide149). E’ presente un errore metodologico rilevante: i fattori di emissione delle diverse tecnologie sono presi da inventari anche di alcuni anni fa, mentre si dovevano inserire i valori migliori nell’arco temporale dello studio. Nonostante i fattori di emissione siano favorevoli alle tecnologie centralizzate (abbiamo forti </w:t>
      </w:r>
      <w:r w:rsidR="00455792" w:rsidRPr="00455792">
        <w:rPr>
          <w:rFonts w:ascii="Century Gothic" w:hAnsi="Century Gothic"/>
          <w:sz w:val="20"/>
          <w:szCs w:val="20"/>
        </w:rPr>
        <w:t>perplessità su questi valori) a</w:t>
      </w:r>
      <w:r w:rsidRPr="00455792">
        <w:rPr>
          <w:rFonts w:ascii="Century Gothic" w:hAnsi="Century Gothic"/>
          <w:sz w:val="20"/>
          <w:szCs w:val="20"/>
        </w:rPr>
        <w:t xml:space="preserve"> </w:t>
      </w:r>
      <w:proofErr w:type="gramStart"/>
      <w:r w:rsidRPr="00455792">
        <w:rPr>
          <w:rFonts w:ascii="Century Gothic" w:hAnsi="Century Gothic"/>
          <w:sz w:val="20"/>
          <w:szCs w:val="20"/>
        </w:rPr>
        <w:t>Slide</w:t>
      </w:r>
      <w:proofErr w:type="gramEnd"/>
      <w:r>
        <w:rPr>
          <w:rFonts w:ascii="Century Gothic" w:hAnsi="Century Gothic"/>
          <w:sz w:val="20"/>
          <w:szCs w:val="20"/>
        </w:rPr>
        <w:t xml:space="preserve"> 146 si evidenzia un impatto ambientale locale ridotto dallo scenario B, anche se non è quello migliore. Sicuramente è migliorabile ulteriormente con l’alimentazione della centrale di Lamarmora a gas.</w:t>
      </w:r>
    </w:p>
    <w:p w:rsidR="009F1770" w:rsidRDefault="009F1770" w:rsidP="00E86582">
      <w:pPr>
        <w:jc w:val="both"/>
        <w:rPr>
          <w:rFonts w:ascii="Century Gothic" w:hAnsi="Century Gothic"/>
          <w:sz w:val="20"/>
          <w:szCs w:val="20"/>
        </w:rPr>
      </w:pPr>
      <w:r>
        <w:rPr>
          <w:rFonts w:ascii="Century Gothic" w:hAnsi="Century Gothic"/>
          <w:sz w:val="20"/>
          <w:szCs w:val="20"/>
        </w:rPr>
        <w:t xml:space="preserve">Come già fatto in altri studi, gli esperti si cimentano nel gioco della diluizione degli inquinanti: numerose pagine per giustificare che rispetto al tessuto industriale unico in Europa e alla viabilità (A4 in primis) esistente, </w:t>
      </w:r>
      <w:r w:rsidRPr="00F2111F">
        <w:rPr>
          <w:rFonts w:ascii="Century Gothic" w:hAnsi="Century Gothic"/>
          <w:sz w:val="20"/>
          <w:szCs w:val="20"/>
        </w:rPr>
        <w:t>l’inceneritore emetterebbe una piccola percentuale degli inquinanti totali</w:t>
      </w:r>
      <w:r>
        <w:rPr>
          <w:rFonts w:ascii="Century Gothic" w:hAnsi="Century Gothic"/>
          <w:sz w:val="20"/>
          <w:szCs w:val="20"/>
        </w:rPr>
        <w:t xml:space="preserve">. Scientificamente infondata, </w:t>
      </w:r>
      <w:r w:rsidRPr="00455792">
        <w:rPr>
          <w:rFonts w:ascii="Century Gothic" w:hAnsi="Century Gothic"/>
          <w:sz w:val="20"/>
          <w:szCs w:val="20"/>
        </w:rPr>
        <w:t>perché ignora le importanti emissioni di NO</w:t>
      </w:r>
      <w:r w:rsidRPr="00455792">
        <w:rPr>
          <w:rFonts w:ascii="Century Gothic" w:hAnsi="Century Gothic"/>
          <w:sz w:val="20"/>
          <w:szCs w:val="20"/>
          <w:vertAlign w:val="subscript"/>
        </w:rPr>
        <w:t>x</w:t>
      </w:r>
      <w:r w:rsidRPr="00455792">
        <w:rPr>
          <w:rFonts w:ascii="Century Gothic" w:hAnsi="Century Gothic"/>
          <w:sz w:val="20"/>
          <w:szCs w:val="20"/>
        </w:rPr>
        <w:t xml:space="preserve"> di cui si è detto,</w:t>
      </w:r>
      <w:proofErr w:type="gramStart"/>
      <w:r>
        <w:rPr>
          <w:rFonts w:ascii="Century Gothic" w:hAnsi="Century Gothic"/>
          <w:sz w:val="20"/>
          <w:szCs w:val="20"/>
        </w:rPr>
        <w:t xml:space="preserve">  </w:t>
      </w:r>
      <w:proofErr w:type="gramEnd"/>
      <w:r>
        <w:rPr>
          <w:rFonts w:ascii="Century Gothic" w:hAnsi="Century Gothic"/>
          <w:sz w:val="20"/>
          <w:szCs w:val="20"/>
        </w:rPr>
        <w:t>quest’argomentazione tace sul confronto tra incenerimento e tecnologie meno impattanti dal punto di vista ambientale, per unità di energia prodotta.</w:t>
      </w:r>
    </w:p>
    <w:p w:rsidR="009F1770" w:rsidRDefault="009F1770" w:rsidP="00E86582">
      <w:pPr>
        <w:jc w:val="both"/>
        <w:rPr>
          <w:rFonts w:ascii="Century Gothic" w:hAnsi="Century Gothic"/>
          <w:sz w:val="20"/>
          <w:szCs w:val="20"/>
        </w:rPr>
      </w:pPr>
      <w:r>
        <w:rPr>
          <w:rFonts w:ascii="Century Gothic" w:hAnsi="Century Gothic"/>
          <w:sz w:val="20"/>
          <w:szCs w:val="20"/>
        </w:rPr>
        <w:t>Ad esempio: l’ultimo arrivato, il fotovoltaico, ha raggiunto rendimenti confrontabili con quelli di molti inceneritori europei, ed ha emissioni dirette nulle.</w:t>
      </w:r>
    </w:p>
    <w:p w:rsidR="009F1770" w:rsidRDefault="009F1770" w:rsidP="002E0B2E">
      <w:pPr>
        <w:jc w:val="both"/>
        <w:rPr>
          <w:rFonts w:ascii="Century Gothic" w:hAnsi="Century Gothic"/>
          <w:sz w:val="20"/>
          <w:szCs w:val="20"/>
        </w:rPr>
      </w:pPr>
      <w:r>
        <w:rPr>
          <w:rFonts w:ascii="Century Gothic" w:hAnsi="Century Gothic"/>
          <w:sz w:val="20"/>
          <w:szCs w:val="20"/>
        </w:rPr>
        <w:t xml:space="preserve">Per calcolare la CO2 emessa nei diversi scenari, ai rifiuti si attribuisce un 70% del PCI come fossile. Si fanno raffronti con il parco termoelettrico anziché quello complessivo (di cui fanno parte anche eolico e fotovoltaico, idroelettrico) per stimare </w:t>
      </w:r>
      <w:proofErr w:type="gramStart"/>
      <w:r>
        <w:rPr>
          <w:rFonts w:ascii="Century Gothic" w:hAnsi="Century Gothic"/>
          <w:sz w:val="20"/>
          <w:szCs w:val="20"/>
        </w:rPr>
        <w:t>le</w:t>
      </w:r>
      <w:proofErr w:type="gramEnd"/>
      <w:r>
        <w:rPr>
          <w:rFonts w:ascii="Century Gothic" w:hAnsi="Century Gothic"/>
          <w:sz w:val="20"/>
          <w:szCs w:val="20"/>
        </w:rPr>
        <w:t xml:space="preserve"> mancate emissioni. Questo metodo è scorretto. Infine, per quanto riguarda l’inceneritore di nuovo si usa un metodo scorretto per sottrarre emissioni considerando che i rifiuti altrimenti andrebbero in discarica! Per legge i rifiuti non possono andare in discarica, e non sono sostitutivi di altri combustibili.</w:t>
      </w:r>
    </w:p>
    <w:p w:rsidR="009F1770" w:rsidRDefault="009F1770" w:rsidP="00E86582">
      <w:pPr>
        <w:pStyle w:val="Titolo4"/>
      </w:pPr>
      <w:r w:rsidRPr="00CE2625">
        <w:t>2.4 ASPETTI ENERGETICI</w:t>
      </w:r>
    </w:p>
    <w:p w:rsidR="009F1770" w:rsidRPr="00E86582" w:rsidRDefault="009F1770" w:rsidP="00E86582"/>
    <w:p w:rsidR="009F1770" w:rsidRDefault="009F1770" w:rsidP="00E86582">
      <w:pPr>
        <w:jc w:val="both"/>
        <w:rPr>
          <w:rFonts w:ascii="Century Gothic" w:hAnsi="Century Gothic"/>
          <w:sz w:val="20"/>
          <w:szCs w:val="20"/>
        </w:rPr>
      </w:pPr>
      <w:r>
        <w:rPr>
          <w:rFonts w:ascii="Century Gothic" w:hAnsi="Century Gothic"/>
          <w:sz w:val="20"/>
          <w:szCs w:val="20"/>
        </w:rPr>
        <w:t xml:space="preserve"> Il prim</w:t>
      </w:r>
      <w:r w:rsidR="00455792">
        <w:rPr>
          <w:rFonts w:ascii="Century Gothic" w:hAnsi="Century Gothic"/>
          <w:sz w:val="20"/>
          <w:szCs w:val="20"/>
        </w:rPr>
        <w:t xml:space="preserve">o dato rilevante </w:t>
      </w:r>
      <w:proofErr w:type="gramStart"/>
      <w:r w:rsidR="00455792">
        <w:rPr>
          <w:rFonts w:ascii="Century Gothic" w:hAnsi="Century Gothic"/>
          <w:sz w:val="20"/>
          <w:szCs w:val="20"/>
        </w:rPr>
        <w:t>lo si</w:t>
      </w:r>
      <w:proofErr w:type="gramEnd"/>
      <w:r w:rsidR="00455792">
        <w:rPr>
          <w:rFonts w:ascii="Century Gothic" w:hAnsi="Century Gothic"/>
          <w:sz w:val="20"/>
          <w:szCs w:val="20"/>
        </w:rPr>
        <w:t xml:space="preserve"> ricava a </w:t>
      </w:r>
      <w:r w:rsidRPr="00455792">
        <w:rPr>
          <w:rFonts w:ascii="Century Gothic" w:hAnsi="Century Gothic"/>
          <w:sz w:val="20"/>
          <w:szCs w:val="20"/>
        </w:rPr>
        <w:t>Slide</w:t>
      </w:r>
      <w:r>
        <w:rPr>
          <w:rFonts w:ascii="Century Gothic" w:hAnsi="Century Gothic"/>
          <w:sz w:val="20"/>
          <w:szCs w:val="20"/>
        </w:rPr>
        <w:t xml:space="preserve"> 42: il riepilogo aggiornato delle potenze termiche installate nel sistema Brescia evidenzia un differenziale positivo di 70 MW, mentre il gruppo di lavoro del tavolo Bastaveleni l’aveva stimato inferiore. A maggior ragione una linea dell’inceneritore</w:t>
      </w:r>
      <w:proofErr w:type="gramStart"/>
      <w:r>
        <w:rPr>
          <w:rFonts w:ascii="Century Gothic" w:hAnsi="Century Gothic"/>
          <w:sz w:val="20"/>
          <w:szCs w:val="20"/>
        </w:rPr>
        <w:t xml:space="preserve">  </w:t>
      </w:r>
      <w:proofErr w:type="gramEnd"/>
      <w:r>
        <w:rPr>
          <w:rFonts w:ascii="Century Gothic" w:hAnsi="Century Gothic"/>
          <w:sz w:val="20"/>
          <w:szCs w:val="20"/>
        </w:rPr>
        <w:t xml:space="preserve">non è necessaria per coprire le richieste termiche della città. </w:t>
      </w:r>
    </w:p>
    <w:p w:rsidR="009F1770" w:rsidRDefault="009F1770" w:rsidP="00E86582">
      <w:pPr>
        <w:jc w:val="both"/>
        <w:rPr>
          <w:rFonts w:ascii="Century Gothic" w:hAnsi="Century Gothic"/>
          <w:sz w:val="20"/>
          <w:szCs w:val="20"/>
        </w:rPr>
      </w:pPr>
      <w:r>
        <w:rPr>
          <w:rFonts w:ascii="Century Gothic" w:hAnsi="Century Gothic"/>
          <w:sz w:val="20"/>
          <w:szCs w:val="20"/>
        </w:rPr>
        <w:t xml:space="preserve"> Estensione della rete e volumetrie allacciate si sono fermate negli ultimi anni: non è fornito alcun motivo tecnico scientifico che giustifichi l’</w:t>
      </w:r>
      <w:proofErr w:type="gramStart"/>
      <w:r>
        <w:rPr>
          <w:rFonts w:ascii="Century Gothic" w:hAnsi="Century Gothic"/>
          <w:sz w:val="20"/>
          <w:szCs w:val="20"/>
        </w:rPr>
        <w:t>ampliamento ulteriore</w:t>
      </w:r>
      <w:proofErr w:type="gramEnd"/>
      <w:r>
        <w:rPr>
          <w:rFonts w:ascii="Century Gothic" w:hAnsi="Century Gothic"/>
          <w:sz w:val="20"/>
          <w:szCs w:val="20"/>
        </w:rPr>
        <w:t xml:space="preserve"> della rete verso i Comuni limitrofi, visto che già oggi si dichiara una perdita di energia sulle tubazioni pari al 17,5%. La minore densità delle utenze di tali comuni incrementerà le perdite.</w:t>
      </w:r>
    </w:p>
    <w:p w:rsidR="009F1770" w:rsidRDefault="009F1770" w:rsidP="00E86582">
      <w:pPr>
        <w:jc w:val="both"/>
        <w:rPr>
          <w:rFonts w:ascii="Century Gothic" w:hAnsi="Century Gothic"/>
          <w:sz w:val="20"/>
          <w:szCs w:val="20"/>
        </w:rPr>
      </w:pPr>
      <w:r>
        <w:rPr>
          <w:rFonts w:ascii="Century Gothic" w:hAnsi="Century Gothic"/>
          <w:sz w:val="20"/>
          <w:szCs w:val="20"/>
        </w:rPr>
        <w:t xml:space="preserve"> Nelle diapositive 59,60 si evidenzia un sistema di sprechi enormi. Per </w:t>
      </w:r>
      <w:proofErr w:type="gramStart"/>
      <w:r>
        <w:rPr>
          <w:rFonts w:ascii="Century Gothic" w:hAnsi="Century Gothic"/>
          <w:sz w:val="20"/>
          <w:szCs w:val="20"/>
        </w:rPr>
        <w:t>6</w:t>
      </w:r>
      <w:proofErr w:type="gramEnd"/>
      <w:r>
        <w:rPr>
          <w:rFonts w:ascii="Century Gothic" w:hAnsi="Century Gothic"/>
          <w:sz w:val="20"/>
          <w:szCs w:val="20"/>
        </w:rPr>
        <w:t xml:space="preserve"> mesi anno il calore prodotto è quasi integralmente scaricato in ambiente, a causa del sovradimensionamento delle centrali di produzione, in passato viste come fonte di lucro per vendere elettricità. Ciò conferma l’urgenza di ridurre il carico base, che consentirebbe di incrementare il calore prodotto con fonti rinnovabili.</w:t>
      </w:r>
    </w:p>
    <w:p w:rsidR="009F1770" w:rsidRDefault="009F1770" w:rsidP="00E86582">
      <w:pPr>
        <w:jc w:val="both"/>
        <w:rPr>
          <w:rFonts w:ascii="Century Gothic" w:hAnsi="Century Gothic"/>
          <w:sz w:val="20"/>
          <w:szCs w:val="20"/>
        </w:rPr>
      </w:pPr>
      <w:r>
        <w:rPr>
          <w:rFonts w:ascii="Century Gothic" w:hAnsi="Century Gothic"/>
          <w:sz w:val="20"/>
          <w:szCs w:val="20"/>
        </w:rPr>
        <w:t xml:space="preserve">La centrale di Lamarmora funziona per </w:t>
      </w:r>
      <w:proofErr w:type="gramStart"/>
      <w:r>
        <w:rPr>
          <w:rFonts w:ascii="Century Gothic" w:hAnsi="Century Gothic"/>
          <w:sz w:val="20"/>
          <w:szCs w:val="20"/>
        </w:rPr>
        <w:t>4</w:t>
      </w:r>
      <w:proofErr w:type="gramEnd"/>
      <w:r>
        <w:rPr>
          <w:rFonts w:ascii="Century Gothic" w:hAnsi="Century Gothic"/>
          <w:sz w:val="20"/>
          <w:szCs w:val="20"/>
        </w:rPr>
        <w:t xml:space="preserve"> mesi l’anno, nel periodo invernale. Una centrale che lavora per qualche centinaio di ore dovrà essere ristrutturata, fatta operare a metano, ridotta di taglia. Questa ipotesi non è contemplata nello studio.</w:t>
      </w:r>
      <w:r w:rsidRPr="00421B46">
        <w:rPr>
          <w:rFonts w:ascii="Century Gothic" w:hAnsi="Century Gothic"/>
          <w:sz w:val="20"/>
          <w:szCs w:val="20"/>
        </w:rPr>
        <w:t xml:space="preserve"> </w:t>
      </w:r>
      <w:r>
        <w:rPr>
          <w:rFonts w:ascii="Century Gothic" w:hAnsi="Century Gothic"/>
          <w:sz w:val="20"/>
          <w:szCs w:val="20"/>
        </w:rPr>
        <w:t>L’apporto della centrale di Lamarmora è pari a 365 GWh anno, circa il 25% del fabbisogno di calore annuo e fornisce circa il 6% della produzione elettrica.</w:t>
      </w:r>
    </w:p>
    <w:p w:rsidR="009F1770" w:rsidRDefault="009F1770" w:rsidP="00E86582">
      <w:pPr>
        <w:jc w:val="both"/>
        <w:rPr>
          <w:rFonts w:ascii="Century Gothic" w:hAnsi="Century Gothic"/>
          <w:sz w:val="20"/>
          <w:szCs w:val="20"/>
        </w:rPr>
      </w:pPr>
      <w:r>
        <w:rPr>
          <w:rFonts w:ascii="Century Gothic" w:hAnsi="Century Gothic"/>
          <w:sz w:val="20"/>
          <w:szCs w:val="20"/>
        </w:rPr>
        <w:t xml:space="preserve">Si sta immettendo calore da un’acciaieria e si valuta di consentire l’immissione </w:t>
      </w:r>
      <w:proofErr w:type="gramStart"/>
      <w:r>
        <w:rPr>
          <w:rFonts w:ascii="Century Gothic" w:hAnsi="Century Gothic"/>
          <w:sz w:val="20"/>
          <w:szCs w:val="20"/>
        </w:rPr>
        <w:t>ad</w:t>
      </w:r>
      <w:proofErr w:type="gramEnd"/>
      <w:r>
        <w:rPr>
          <w:rFonts w:ascii="Century Gothic" w:hAnsi="Century Gothic"/>
          <w:sz w:val="20"/>
          <w:szCs w:val="20"/>
        </w:rPr>
        <w:t xml:space="preserve"> un'altra: nel frattempo si dissipa </w:t>
      </w:r>
      <w:r w:rsidRPr="00F2111F">
        <w:rPr>
          <w:rFonts w:ascii="Century Gothic" w:hAnsi="Century Gothic"/>
          <w:sz w:val="20"/>
          <w:szCs w:val="20"/>
        </w:rPr>
        <w:t>100 volte l’energia delle acciaierie,</w:t>
      </w:r>
      <w:r>
        <w:rPr>
          <w:rFonts w:ascii="Century Gothic" w:hAnsi="Century Gothic"/>
          <w:sz w:val="20"/>
          <w:szCs w:val="20"/>
        </w:rPr>
        <w:t xml:space="preserve"> fornita dall’inceneritore! La potenza sprecata sulla rete supera i 100 MW, e va sommata a quella dissipata al condensatore nei sei mesi caldi. L’energia che può fornire in un anno l’inceneritore è di circa 1500 GWh, quella </w:t>
      </w:r>
      <w:proofErr w:type="gramStart"/>
      <w:r>
        <w:rPr>
          <w:rFonts w:ascii="Century Gothic" w:hAnsi="Century Gothic"/>
          <w:sz w:val="20"/>
          <w:szCs w:val="20"/>
        </w:rPr>
        <w:t>utilizzata circa 700</w:t>
      </w:r>
      <w:proofErr w:type="gramEnd"/>
      <w:r>
        <w:rPr>
          <w:rFonts w:ascii="Century Gothic" w:hAnsi="Century Gothic"/>
          <w:sz w:val="20"/>
          <w:szCs w:val="20"/>
        </w:rPr>
        <w:t xml:space="preserve">, ma con le perdite di rete si riduce a 580 GWh. </w:t>
      </w:r>
      <w:proofErr w:type="gramStart"/>
      <w:r>
        <w:rPr>
          <w:rFonts w:ascii="Century Gothic" w:hAnsi="Century Gothic"/>
          <w:sz w:val="20"/>
          <w:szCs w:val="20"/>
        </w:rPr>
        <w:t>Quindi</w:t>
      </w:r>
      <w:proofErr w:type="gramEnd"/>
      <w:r>
        <w:rPr>
          <w:rFonts w:ascii="Century Gothic" w:hAnsi="Century Gothic"/>
          <w:sz w:val="20"/>
          <w:szCs w:val="20"/>
        </w:rPr>
        <w:t xml:space="preserve"> si utilizza il 38% del calore prodotto dall’inceneritore, mentre il 62% è dissipato in ambiente.</w:t>
      </w:r>
    </w:p>
    <w:p w:rsidR="009F1770" w:rsidRDefault="009F1770" w:rsidP="00E86582">
      <w:pPr>
        <w:jc w:val="both"/>
        <w:rPr>
          <w:rFonts w:ascii="Century Gothic" w:hAnsi="Century Gothic"/>
          <w:sz w:val="20"/>
          <w:szCs w:val="20"/>
        </w:rPr>
      </w:pPr>
      <w:r>
        <w:rPr>
          <w:rFonts w:ascii="Century Gothic" w:hAnsi="Century Gothic"/>
          <w:sz w:val="20"/>
          <w:szCs w:val="20"/>
        </w:rPr>
        <w:t>Secondo un recentissimo studio IEA (International Energy Agency)</w:t>
      </w:r>
      <w:r>
        <w:rPr>
          <w:rStyle w:val="Rimandonotaapidipagina"/>
          <w:rFonts w:ascii="Century Gothic" w:hAnsi="Century Gothic"/>
          <w:sz w:val="20"/>
          <w:szCs w:val="20"/>
        </w:rPr>
        <w:footnoteReference w:id="1"/>
      </w:r>
      <w:proofErr w:type="gramStart"/>
      <w:r>
        <w:rPr>
          <w:rFonts w:ascii="Century Gothic" w:hAnsi="Century Gothic"/>
          <w:sz w:val="20"/>
          <w:szCs w:val="20"/>
        </w:rPr>
        <w:t>,vi</w:t>
      </w:r>
      <w:proofErr w:type="gramEnd"/>
      <w:r>
        <w:rPr>
          <w:rFonts w:ascii="Century Gothic" w:hAnsi="Century Gothic"/>
          <w:sz w:val="20"/>
          <w:szCs w:val="20"/>
        </w:rPr>
        <w:t xml:space="preserve"> sono interessanti possibilità di utilizzo dell’energia solare termica sia presso i singoli edifici che nelle reti calore. Ma per un’elevata penetrazione, è necessario che </w:t>
      </w:r>
      <w:proofErr w:type="gramStart"/>
      <w:r>
        <w:rPr>
          <w:rFonts w:ascii="Century Gothic" w:hAnsi="Century Gothic"/>
          <w:sz w:val="20"/>
          <w:szCs w:val="20"/>
        </w:rPr>
        <w:t>s’</w:t>
      </w:r>
      <w:proofErr w:type="gramEnd"/>
      <w:r>
        <w:rPr>
          <w:rFonts w:ascii="Century Gothic" w:hAnsi="Century Gothic"/>
          <w:sz w:val="20"/>
          <w:szCs w:val="20"/>
        </w:rPr>
        <w:t xml:space="preserve">intervenga prima sulla riqualificazione degli edifici, e infine che gli impianti operanti con continuità (a copertura del carico base, cioè cogeneratori, scarti industriali, inceneritori) abbiano limitate potenze, </w:t>
      </w:r>
      <w:r w:rsidRPr="00455792">
        <w:rPr>
          <w:rFonts w:ascii="Century Gothic" w:hAnsi="Century Gothic"/>
          <w:sz w:val="20"/>
          <w:szCs w:val="20"/>
        </w:rPr>
        <w:t>sempre più ridimensionate</w:t>
      </w:r>
      <w:r>
        <w:rPr>
          <w:rFonts w:ascii="Century Gothic" w:hAnsi="Century Gothic"/>
          <w:sz w:val="20"/>
          <w:szCs w:val="20"/>
        </w:rPr>
        <w:t xml:space="preserve">  nella prospettiva della loro sostituzione con produzioni rinnovabili. Diversamente le ostacolano.</w:t>
      </w:r>
    </w:p>
    <w:p w:rsidR="009F1770" w:rsidRDefault="009F1770" w:rsidP="00E86582">
      <w:pPr>
        <w:jc w:val="both"/>
        <w:rPr>
          <w:rFonts w:ascii="Century Gothic" w:hAnsi="Century Gothic"/>
          <w:sz w:val="20"/>
          <w:szCs w:val="20"/>
        </w:rPr>
      </w:pPr>
      <w:r>
        <w:rPr>
          <w:rFonts w:ascii="Century Gothic" w:hAnsi="Century Gothic"/>
          <w:sz w:val="20"/>
          <w:szCs w:val="20"/>
        </w:rPr>
        <w:t xml:space="preserve">Da qui derivano le nostre critiche ai recuperi industriali: sicuramente un vantaggio economico per le acciaierie, nessuna necessità di questo calore, un futuro ostacolo alla penetrazione del solare termico. </w:t>
      </w:r>
    </w:p>
    <w:p w:rsidR="009F1770" w:rsidRDefault="009F1770" w:rsidP="00E86582">
      <w:pPr>
        <w:jc w:val="both"/>
        <w:rPr>
          <w:rFonts w:ascii="Century Gothic" w:hAnsi="Century Gothic"/>
          <w:sz w:val="20"/>
          <w:szCs w:val="20"/>
        </w:rPr>
      </w:pPr>
      <w:r>
        <w:rPr>
          <w:rFonts w:ascii="Century Gothic" w:hAnsi="Century Gothic"/>
          <w:sz w:val="20"/>
          <w:szCs w:val="20"/>
        </w:rPr>
        <w:t xml:space="preserve">Anche dal punto di vista della programmazione </w:t>
      </w:r>
      <w:proofErr w:type="gramStart"/>
      <w:r>
        <w:rPr>
          <w:rFonts w:ascii="Century Gothic" w:hAnsi="Century Gothic"/>
          <w:sz w:val="20"/>
          <w:szCs w:val="20"/>
        </w:rPr>
        <w:t>degli</w:t>
      </w:r>
      <w:proofErr w:type="gramEnd"/>
      <w:r>
        <w:rPr>
          <w:rFonts w:ascii="Century Gothic" w:hAnsi="Century Gothic"/>
          <w:sz w:val="20"/>
          <w:szCs w:val="20"/>
        </w:rPr>
        <w:t xml:space="preserve"> approvvigionamenti rileviamo criticità: a fronte di un servizio pubblico essenziale, s’introduce la dipendenza da un’impresa privata soggetta ai cambiamenti del mercato.  </w:t>
      </w:r>
    </w:p>
    <w:p w:rsidR="009F1770" w:rsidRDefault="009F1770" w:rsidP="00E86582">
      <w:pPr>
        <w:jc w:val="both"/>
        <w:rPr>
          <w:rFonts w:ascii="Century Gothic" w:hAnsi="Century Gothic"/>
          <w:sz w:val="20"/>
          <w:szCs w:val="20"/>
        </w:rPr>
      </w:pPr>
      <w:r>
        <w:rPr>
          <w:rFonts w:ascii="Century Gothic" w:hAnsi="Century Gothic"/>
          <w:sz w:val="20"/>
          <w:szCs w:val="20"/>
        </w:rPr>
        <w:t xml:space="preserve">Si aggiunga che le recenti politiche del nostro governo hanno ridotto i costi dell’elettricità per gli energivori, spalmando queste mancate entrate sulla riduzione di sussidi per le rinnovabili e accrescendo le tariffe per i non energivori. Pertanto, orientare il sistema a favore di grandi “energivori” va ulteriormente nella direzione di limitare la transizione alle fonti rinnovabili decentrate. </w:t>
      </w:r>
    </w:p>
    <w:p w:rsidR="009F1770" w:rsidRDefault="009F1770" w:rsidP="00E86582">
      <w:pPr>
        <w:jc w:val="both"/>
        <w:rPr>
          <w:rFonts w:ascii="Century Gothic" w:hAnsi="Century Gothic"/>
          <w:sz w:val="20"/>
          <w:szCs w:val="20"/>
        </w:rPr>
      </w:pPr>
      <w:r>
        <w:rPr>
          <w:rFonts w:ascii="Century Gothic" w:hAnsi="Century Gothic"/>
          <w:sz w:val="20"/>
          <w:szCs w:val="20"/>
        </w:rPr>
        <w:t xml:space="preserve">Nessuna valutazione di efficienza è condotta nella relazione: è chiaro che si propone di raggiungere nuove utenze per ridurre gli sprechi enormi all’origine. </w:t>
      </w:r>
      <w:proofErr w:type="gramStart"/>
      <w:r w:rsidRPr="00044608">
        <w:rPr>
          <w:rFonts w:ascii="Century Gothic" w:hAnsi="Century Gothic"/>
          <w:b/>
          <w:i/>
          <w:sz w:val="20"/>
          <w:szCs w:val="20"/>
        </w:rPr>
        <w:t>Gli utenti usati per risolvere i problemi di business della SPA</w:t>
      </w:r>
      <w:r>
        <w:rPr>
          <w:rFonts w:ascii="Century Gothic" w:hAnsi="Century Gothic"/>
          <w:sz w:val="20"/>
          <w:szCs w:val="20"/>
        </w:rPr>
        <w:t>.</w:t>
      </w:r>
      <w:proofErr w:type="gramEnd"/>
    </w:p>
    <w:p w:rsidR="009F1770" w:rsidRDefault="009F1770" w:rsidP="00AF3EF0">
      <w:pPr>
        <w:jc w:val="both"/>
        <w:rPr>
          <w:rFonts w:ascii="Century Gothic" w:hAnsi="Century Gothic"/>
          <w:sz w:val="20"/>
          <w:szCs w:val="20"/>
        </w:rPr>
      </w:pPr>
      <w:r w:rsidRPr="00455792">
        <w:rPr>
          <w:rFonts w:ascii="Century Gothic" w:hAnsi="Century Gothic"/>
          <w:sz w:val="20"/>
          <w:szCs w:val="20"/>
        </w:rPr>
        <w:t>Fabbisogno di energia primaria (</w:t>
      </w:r>
      <w:proofErr w:type="spellStart"/>
      <w:r w:rsidRPr="00455792">
        <w:rPr>
          <w:rFonts w:ascii="Century Gothic" w:hAnsi="Century Gothic"/>
          <w:sz w:val="20"/>
          <w:szCs w:val="20"/>
        </w:rPr>
        <w:t>Fep</w:t>
      </w:r>
      <w:proofErr w:type="spellEnd"/>
      <w:r w:rsidRPr="00455792">
        <w:rPr>
          <w:rFonts w:ascii="Century Gothic" w:hAnsi="Century Gothic"/>
          <w:sz w:val="20"/>
          <w:szCs w:val="20"/>
        </w:rPr>
        <w:t xml:space="preserve">). Alla </w:t>
      </w:r>
      <w:proofErr w:type="gramStart"/>
      <w:r w:rsidRPr="00455792">
        <w:rPr>
          <w:rFonts w:ascii="Century Gothic" w:hAnsi="Century Gothic"/>
          <w:sz w:val="20"/>
          <w:szCs w:val="20"/>
        </w:rPr>
        <w:t>Slide</w:t>
      </w:r>
      <w:proofErr w:type="gramEnd"/>
      <w:r w:rsidRPr="00455792">
        <w:rPr>
          <w:rFonts w:ascii="Century Gothic" w:hAnsi="Century Gothic"/>
          <w:sz w:val="20"/>
          <w:szCs w:val="20"/>
        </w:rPr>
        <w:t xml:space="preserve"> 159 si svolge il confronto degli scenari rispetto al consumo di energia primaria. Quest’aspetto è fondamentale per gli esiti dello studio. Qualsiasi scenario che riduce i rifiuti bruciati peggiorerebbe</w:t>
      </w:r>
      <w:r>
        <w:rPr>
          <w:rFonts w:ascii="Century Gothic" w:hAnsi="Century Gothic"/>
          <w:sz w:val="20"/>
          <w:szCs w:val="20"/>
        </w:rPr>
        <w:t xml:space="preserve"> il fabbisogno di energia primaria. Il motivo è presto detto: il DM 26.6.15 “decreto edifici” attribuisce ai rifiuti un fattore di energia primaria che è quasi zero, come per il solare, eolico e mini-idraulico!</w:t>
      </w:r>
    </w:p>
    <w:p w:rsidR="009F1770" w:rsidRDefault="009F1770" w:rsidP="00AF3EF0">
      <w:pPr>
        <w:jc w:val="both"/>
        <w:rPr>
          <w:rFonts w:ascii="Century Gothic" w:hAnsi="Century Gothic"/>
          <w:sz w:val="20"/>
          <w:szCs w:val="20"/>
        </w:rPr>
      </w:pPr>
      <w:r>
        <w:rPr>
          <w:rFonts w:ascii="Century Gothic" w:hAnsi="Century Gothic"/>
          <w:sz w:val="20"/>
          <w:szCs w:val="20"/>
        </w:rPr>
        <w:t xml:space="preserve">Per ragioni “politiche” si è deciso di spingere sull’incenerimento, attribuendogli un consumo di energia per la produzione del combustibile pari a 0,2 (fattore di energia primaria: energia richiesta per produrre, lavorare, trasportare il combustibile): 100 unità di energia da rifiuti </w:t>
      </w:r>
      <w:proofErr w:type="gramStart"/>
      <w:r>
        <w:rPr>
          <w:rFonts w:ascii="Century Gothic" w:hAnsi="Century Gothic"/>
          <w:sz w:val="20"/>
          <w:szCs w:val="20"/>
        </w:rPr>
        <w:t>comportano</w:t>
      </w:r>
      <w:proofErr w:type="gramEnd"/>
      <w:r>
        <w:rPr>
          <w:rFonts w:ascii="Century Gothic" w:hAnsi="Century Gothic"/>
          <w:sz w:val="20"/>
          <w:szCs w:val="20"/>
        </w:rPr>
        <w:t xml:space="preserve"> un’energia primaria del combustibile impiegato pari a 20. In sostanza: i rifiuti vengono dal nulla, e sostituiscono combustibili fossili, quindi è come se non consumassimo nulla. Per il metano, il fattore è 1,05: se consumo 100, il fabbisogno di energia primaria per fornirla all’utenza è 105.  </w:t>
      </w:r>
    </w:p>
    <w:p w:rsidR="009F1770" w:rsidRDefault="009F1770" w:rsidP="00AF3EF0">
      <w:pPr>
        <w:jc w:val="both"/>
        <w:rPr>
          <w:rFonts w:ascii="Century Gothic" w:hAnsi="Century Gothic"/>
          <w:sz w:val="20"/>
          <w:szCs w:val="20"/>
        </w:rPr>
      </w:pPr>
      <w:r>
        <w:rPr>
          <w:rFonts w:ascii="Century Gothic" w:hAnsi="Century Gothic"/>
          <w:sz w:val="20"/>
          <w:szCs w:val="20"/>
        </w:rPr>
        <w:t xml:space="preserve">Sulla rete di Brescia il </w:t>
      </w:r>
      <w:proofErr w:type="spellStart"/>
      <w:r>
        <w:rPr>
          <w:rFonts w:ascii="Century Gothic" w:hAnsi="Century Gothic"/>
          <w:sz w:val="20"/>
          <w:szCs w:val="20"/>
        </w:rPr>
        <w:t>F</w:t>
      </w:r>
      <w:r w:rsidRPr="008C58D6">
        <w:rPr>
          <w:rFonts w:ascii="Century Gothic" w:hAnsi="Century Gothic"/>
          <w:color w:val="FF0000"/>
          <w:sz w:val="20"/>
          <w:szCs w:val="20"/>
        </w:rPr>
        <w:t>ep</w:t>
      </w:r>
      <w:proofErr w:type="spellEnd"/>
      <w:r>
        <w:rPr>
          <w:rFonts w:ascii="Century Gothic" w:hAnsi="Century Gothic"/>
          <w:sz w:val="20"/>
          <w:szCs w:val="20"/>
        </w:rPr>
        <w:t xml:space="preserve"> del calore finora è stato pari a 0,31, ma per modifiche nelle norme tecniche europee presto potrebbe essere portato a 0,7, peggiorando i bilanci del sistema A2A e le certificazioni degli edifici allacciati. Per comprendere il meccanismo perverso del fattore energia primaria si veda il diagramma di flusso di seguito per una caldaia a gas di ultima generazione. Risalendo dal consumo all’energia primaria, otteniamo un valore 133,7.</w:t>
      </w:r>
    </w:p>
    <w:p w:rsidR="009F1770" w:rsidRDefault="00455792" w:rsidP="001764BF">
      <w:pPr>
        <w:jc w:val="center"/>
        <w:rPr>
          <w:rFonts w:ascii="Century Gothic" w:hAnsi="Century Gothic"/>
          <w:sz w:val="20"/>
          <w:szCs w:val="20"/>
        </w:rPr>
      </w:pPr>
      <w:r>
        <w:rPr>
          <w:noProof/>
        </w:rPr>
        <w:drawing>
          <wp:inline distT="0" distB="0" distL="0" distR="0">
            <wp:extent cx="2203450" cy="2807970"/>
            <wp:effectExtent l="0" t="0" r="635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3450" cy="2807970"/>
                    </a:xfrm>
                    <a:prstGeom prst="rect">
                      <a:avLst/>
                    </a:prstGeom>
                    <a:noFill/>
                    <a:ln>
                      <a:noFill/>
                    </a:ln>
                  </pic:spPr>
                </pic:pic>
              </a:graphicData>
            </a:graphic>
          </wp:inline>
        </w:drawing>
      </w:r>
    </w:p>
    <w:p w:rsidR="009F1770" w:rsidRDefault="009F1770" w:rsidP="00AF3EF0">
      <w:pPr>
        <w:jc w:val="both"/>
        <w:rPr>
          <w:rFonts w:ascii="Century Gothic" w:hAnsi="Century Gothic"/>
          <w:sz w:val="20"/>
          <w:szCs w:val="20"/>
        </w:rPr>
      </w:pPr>
      <w:r>
        <w:rPr>
          <w:rFonts w:ascii="Century Gothic" w:hAnsi="Century Gothic"/>
          <w:sz w:val="20"/>
          <w:szCs w:val="20"/>
        </w:rPr>
        <w:t>Ora ipotizziamo di produrre la stessa energia con la catena più complessa della rete del teleriscaldamento alimentata da vari combustibili, principalmente rifiuti.</w:t>
      </w:r>
    </w:p>
    <w:p w:rsidR="009F1770" w:rsidRDefault="009F1770" w:rsidP="00E86582">
      <w:pPr>
        <w:jc w:val="both"/>
        <w:rPr>
          <w:rFonts w:ascii="Century Gothic" w:hAnsi="Century Gothic"/>
          <w:sz w:val="20"/>
          <w:szCs w:val="20"/>
        </w:rPr>
      </w:pPr>
      <w:r>
        <w:rPr>
          <w:rFonts w:ascii="Century Gothic" w:hAnsi="Century Gothic"/>
          <w:sz w:val="20"/>
          <w:szCs w:val="20"/>
        </w:rPr>
        <w:t xml:space="preserve">Se inseriamo il rendimento termico dell’inceneritore, otteniamo che la richiesta di energia in ingresso alla rete è </w:t>
      </w:r>
      <w:proofErr w:type="gramStart"/>
      <w:r>
        <w:rPr>
          <w:rFonts w:ascii="Century Gothic" w:hAnsi="Century Gothic"/>
          <w:sz w:val="20"/>
          <w:szCs w:val="20"/>
        </w:rPr>
        <w:t>3</w:t>
      </w:r>
      <w:proofErr w:type="gramEnd"/>
      <w:r>
        <w:rPr>
          <w:rFonts w:ascii="Century Gothic" w:hAnsi="Century Gothic"/>
          <w:sz w:val="20"/>
          <w:szCs w:val="20"/>
        </w:rPr>
        <w:t xml:space="preserve"> volte superiore al primo caso. Ma con </w:t>
      </w:r>
      <w:proofErr w:type="gramStart"/>
      <w:r>
        <w:rPr>
          <w:rFonts w:ascii="Century Gothic" w:hAnsi="Century Gothic"/>
          <w:sz w:val="20"/>
          <w:szCs w:val="20"/>
        </w:rPr>
        <w:t>il combustibile rifiuti</w:t>
      </w:r>
      <w:proofErr w:type="gramEnd"/>
      <w:r>
        <w:rPr>
          <w:rFonts w:ascii="Century Gothic" w:hAnsi="Century Gothic"/>
          <w:sz w:val="20"/>
          <w:szCs w:val="20"/>
        </w:rPr>
        <w:t xml:space="preserve"> il </w:t>
      </w:r>
      <w:proofErr w:type="spellStart"/>
      <w:r w:rsidRPr="001764BF">
        <w:rPr>
          <w:rFonts w:ascii="Century Gothic" w:hAnsi="Century Gothic"/>
          <w:sz w:val="20"/>
          <w:szCs w:val="20"/>
        </w:rPr>
        <w:t>Fep</w:t>
      </w:r>
      <w:proofErr w:type="spellEnd"/>
      <w:r>
        <w:rPr>
          <w:rFonts w:ascii="Century Gothic" w:hAnsi="Century Gothic"/>
          <w:sz w:val="20"/>
          <w:szCs w:val="20"/>
        </w:rPr>
        <w:t xml:space="preserve"> diventa 0,31, quindi formalmente il fabbisogno scende a 113,7.</w:t>
      </w:r>
    </w:p>
    <w:p w:rsidR="009F1770" w:rsidRDefault="009F1770" w:rsidP="00E86582">
      <w:pPr>
        <w:jc w:val="both"/>
        <w:rPr>
          <w:rFonts w:ascii="Century Gothic" w:hAnsi="Century Gothic"/>
          <w:sz w:val="20"/>
          <w:szCs w:val="20"/>
        </w:rPr>
      </w:pPr>
      <w:r>
        <w:rPr>
          <w:rFonts w:ascii="Century Gothic" w:hAnsi="Century Gothic"/>
          <w:sz w:val="20"/>
          <w:szCs w:val="20"/>
        </w:rPr>
        <w:t xml:space="preserve">I due edifici consumano la stessa quantità di calore, il secondo non ha alcun vantaggio economico perché il calore da reti di teleriscaldamento è stato equiparato a quello prodotto con caldaie a gas. </w:t>
      </w:r>
    </w:p>
    <w:p w:rsidR="009F1770" w:rsidRDefault="009F1770" w:rsidP="00E86582">
      <w:pPr>
        <w:jc w:val="both"/>
        <w:rPr>
          <w:rFonts w:ascii="Century Gothic" w:hAnsi="Century Gothic"/>
          <w:sz w:val="20"/>
          <w:szCs w:val="20"/>
        </w:rPr>
      </w:pPr>
      <w:r>
        <w:rPr>
          <w:rFonts w:ascii="Century Gothic" w:hAnsi="Century Gothic"/>
          <w:sz w:val="20"/>
          <w:szCs w:val="20"/>
        </w:rPr>
        <w:t xml:space="preserve">Il secondo può ottenere una certificazione energetica migliore. </w:t>
      </w:r>
    </w:p>
    <w:p w:rsidR="009F1770" w:rsidRDefault="009F1770" w:rsidP="00AF3EF0">
      <w:pPr>
        <w:jc w:val="both"/>
        <w:rPr>
          <w:rFonts w:ascii="Century Gothic" w:hAnsi="Century Gothic"/>
          <w:sz w:val="20"/>
          <w:szCs w:val="20"/>
        </w:rPr>
      </w:pPr>
    </w:p>
    <w:p w:rsidR="009F1770" w:rsidRDefault="00455792" w:rsidP="00AF3EF0">
      <w:pPr>
        <w:jc w:val="both"/>
        <w:rPr>
          <w:rFonts w:ascii="Century Gothic" w:hAnsi="Century Gothic"/>
          <w:sz w:val="20"/>
          <w:szCs w:val="20"/>
        </w:rPr>
      </w:pPr>
      <w:r>
        <w:rPr>
          <w:noProof/>
        </w:rPr>
        <w:drawing>
          <wp:inline distT="0" distB="0" distL="0" distR="0">
            <wp:extent cx="2313305" cy="381762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305" cy="3817620"/>
                    </a:xfrm>
                    <a:prstGeom prst="rect">
                      <a:avLst/>
                    </a:prstGeom>
                    <a:noFill/>
                    <a:ln>
                      <a:noFill/>
                    </a:ln>
                  </pic:spPr>
                </pic:pic>
              </a:graphicData>
            </a:graphic>
          </wp:inline>
        </w:drawing>
      </w:r>
    </w:p>
    <w:p w:rsidR="009F1770" w:rsidRDefault="009F1770" w:rsidP="001764BF">
      <w:pPr>
        <w:jc w:val="center"/>
        <w:rPr>
          <w:rFonts w:ascii="Century Gothic" w:hAnsi="Century Gothic"/>
          <w:sz w:val="20"/>
          <w:szCs w:val="20"/>
        </w:rPr>
      </w:pPr>
    </w:p>
    <w:p w:rsidR="009F1770" w:rsidRDefault="009F1770" w:rsidP="00AF3EF0">
      <w:pPr>
        <w:jc w:val="both"/>
        <w:rPr>
          <w:rFonts w:ascii="Century Gothic" w:hAnsi="Century Gothic"/>
          <w:sz w:val="20"/>
          <w:szCs w:val="20"/>
        </w:rPr>
      </w:pPr>
      <w:r>
        <w:rPr>
          <w:rFonts w:ascii="Century Gothic" w:hAnsi="Century Gothic"/>
          <w:sz w:val="20"/>
          <w:szCs w:val="20"/>
        </w:rPr>
        <w:t xml:space="preserve">La norma nazionale premia la produzione centralizzata con rifiuti urbani e industriali, invece di premiare la riduzione dei fabbisogni e dei carichi exergetici finali, ostacolando la transizione energetica. </w:t>
      </w:r>
      <w:proofErr w:type="gramStart"/>
      <w:r>
        <w:rPr>
          <w:rFonts w:ascii="Century Gothic" w:hAnsi="Century Gothic"/>
          <w:sz w:val="20"/>
          <w:szCs w:val="20"/>
        </w:rPr>
        <w:t>(Tra</w:t>
      </w:r>
      <w:proofErr w:type="gramEnd"/>
      <w:r>
        <w:rPr>
          <w:rFonts w:ascii="Century Gothic" w:hAnsi="Century Gothic"/>
          <w:sz w:val="20"/>
          <w:szCs w:val="20"/>
        </w:rPr>
        <w:t xml:space="preserve"> le molte critiche di termotecnici e esperti, riportiamo il commento di un docente universitario</w:t>
      </w:r>
      <w:r>
        <w:rPr>
          <w:rStyle w:val="Rimandonotaapidipagina"/>
          <w:rFonts w:ascii="Century Gothic" w:hAnsi="Century Gothic"/>
          <w:sz w:val="20"/>
          <w:szCs w:val="20"/>
        </w:rPr>
        <w:footnoteReference w:id="2"/>
      </w:r>
      <w:proofErr w:type="gramStart"/>
      <w:r>
        <w:rPr>
          <w:rFonts w:ascii="Century Gothic" w:hAnsi="Century Gothic"/>
          <w:sz w:val="20"/>
          <w:szCs w:val="20"/>
        </w:rPr>
        <w:t>).</w:t>
      </w:r>
      <w:proofErr w:type="gramEnd"/>
      <w:r>
        <w:rPr>
          <w:rFonts w:ascii="Century Gothic" w:hAnsi="Century Gothic"/>
          <w:sz w:val="20"/>
          <w:szCs w:val="20"/>
        </w:rPr>
        <w:t xml:space="preserve"> </w:t>
      </w:r>
    </w:p>
    <w:p w:rsidR="009F1770" w:rsidRDefault="009F1770" w:rsidP="00AF3EF0">
      <w:pPr>
        <w:jc w:val="both"/>
        <w:rPr>
          <w:rFonts w:ascii="Century Gothic" w:hAnsi="Century Gothic"/>
          <w:sz w:val="20"/>
          <w:szCs w:val="20"/>
        </w:rPr>
      </w:pPr>
      <w:r w:rsidRPr="001764BF">
        <w:rPr>
          <w:rFonts w:ascii="Century Gothic" w:hAnsi="Century Gothic"/>
          <w:sz w:val="20"/>
          <w:szCs w:val="20"/>
        </w:rPr>
        <w:t>Lo</w:t>
      </w:r>
      <w:r>
        <w:rPr>
          <w:rFonts w:ascii="Century Gothic" w:hAnsi="Century Gothic"/>
          <w:sz w:val="20"/>
          <w:szCs w:val="20"/>
        </w:rPr>
        <w:t xml:space="preserve"> studio ripete in più punti che la scelta di allacciarsi alle reti è vantaggiosa, perché la certificazione energetica degli edifici si avvale </w:t>
      </w:r>
      <w:proofErr w:type="gramStart"/>
      <w:r>
        <w:rPr>
          <w:rFonts w:ascii="Century Gothic" w:hAnsi="Century Gothic"/>
          <w:sz w:val="20"/>
          <w:szCs w:val="20"/>
        </w:rPr>
        <w:t>dell’</w:t>
      </w:r>
      <w:proofErr w:type="spellStart"/>
      <w:proofErr w:type="gramEnd"/>
      <w:r>
        <w:rPr>
          <w:rFonts w:ascii="Century Gothic" w:hAnsi="Century Gothic"/>
          <w:sz w:val="20"/>
          <w:szCs w:val="20"/>
        </w:rPr>
        <w:t>F</w:t>
      </w:r>
      <w:r w:rsidRPr="009063B2">
        <w:rPr>
          <w:rFonts w:ascii="Century Gothic" w:hAnsi="Century Gothic"/>
          <w:sz w:val="20"/>
          <w:szCs w:val="20"/>
        </w:rPr>
        <w:t>ep</w:t>
      </w:r>
      <w:proofErr w:type="spellEnd"/>
      <w:r>
        <w:rPr>
          <w:rFonts w:ascii="Century Gothic" w:hAnsi="Century Gothic"/>
          <w:sz w:val="20"/>
          <w:szCs w:val="20"/>
        </w:rPr>
        <w:t xml:space="preserve"> dichiarato da A2A. L’edificio può essere un colabrodo, ma formalmente se alimentato a rifiuti è di classe energetica elevata! </w:t>
      </w:r>
    </w:p>
    <w:p w:rsidR="009F1770" w:rsidRPr="002D7B23" w:rsidRDefault="009F1770" w:rsidP="00E86582">
      <w:pPr>
        <w:jc w:val="both"/>
        <w:rPr>
          <w:rFonts w:ascii="Century Gothic" w:hAnsi="Century Gothic"/>
          <w:color w:val="FF0000"/>
          <w:sz w:val="20"/>
          <w:szCs w:val="20"/>
        </w:rPr>
      </w:pPr>
      <w:r>
        <w:rPr>
          <w:rFonts w:ascii="Century Gothic" w:hAnsi="Century Gothic"/>
          <w:sz w:val="20"/>
          <w:szCs w:val="20"/>
        </w:rPr>
        <w:t xml:space="preserve">Nonostante ciò, si osserva nelle </w:t>
      </w:r>
      <w:r w:rsidRPr="00455792">
        <w:rPr>
          <w:rFonts w:ascii="Century Gothic" w:hAnsi="Century Gothic"/>
          <w:sz w:val="20"/>
          <w:szCs w:val="20"/>
        </w:rPr>
        <w:t>slides</w:t>
      </w:r>
      <w:proofErr w:type="gramStart"/>
      <w:r w:rsidRPr="008C58D6">
        <w:rPr>
          <w:rFonts w:ascii="Century Gothic" w:hAnsi="Century Gothic"/>
          <w:color w:val="FF0000"/>
          <w:sz w:val="20"/>
          <w:szCs w:val="20"/>
        </w:rPr>
        <w:t xml:space="preserve"> </w:t>
      </w:r>
      <w:r>
        <w:rPr>
          <w:rFonts w:ascii="Century Gothic" w:hAnsi="Century Gothic"/>
          <w:sz w:val="20"/>
          <w:szCs w:val="20"/>
        </w:rPr>
        <w:t xml:space="preserve"> </w:t>
      </w:r>
      <w:proofErr w:type="gramEnd"/>
      <w:r>
        <w:rPr>
          <w:rFonts w:ascii="Century Gothic" w:hAnsi="Century Gothic"/>
          <w:sz w:val="20"/>
          <w:szCs w:val="20"/>
        </w:rPr>
        <w:t xml:space="preserve">conclusive dello studio che lo scenario C con ampliamento della rete peggiora il bilancio dell’energia primaria, quindi è sconsigliabile. </w:t>
      </w:r>
    </w:p>
    <w:p w:rsidR="009F1770" w:rsidRDefault="009F1770" w:rsidP="00E86582">
      <w:pPr>
        <w:pStyle w:val="Titolo4"/>
      </w:pPr>
      <w:r>
        <w:t>2.5 ASPETTI ECONOMICO FINANZIARI</w:t>
      </w:r>
    </w:p>
    <w:p w:rsidR="009F1770" w:rsidRDefault="009F1770" w:rsidP="00AF3EF0">
      <w:pPr>
        <w:jc w:val="both"/>
        <w:rPr>
          <w:rFonts w:ascii="Century Gothic" w:hAnsi="Century Gothic"/>
          <w:sz w:val="20"/>
          <w:szCs w:val="20"/>
        </w:rPr>
      </w:pP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I professori informano che una sola linea dell’inceneritore vale </w:t>
      </w:r>
      <w:proofErr w:type="gramStart"/>
      <w:r w:rsidRPr="00482F3B">
        <w:rPr>
          <w:rFonts w:ascii="Century Gothic" w:hAnsi="Century Gothic"/>
          <w:sz w:val="20"/>
          <w:szCs w:val="20"/>
        </w:rPr>
        <w:t>38</w:t>
      </w:r>
      <w:proofErr w:type="gramEnd"/>
      <w:r w:rsidRPr="00482F3B">
        <w:rPr>
          <w:rFonts w:ascii="Century Gothic" w:hAnsi="Century Gothic"/>
          <w:sz w:val="20"/>
          <w:szCs w:val="20"/>
        </w:rPr>
        <w:t xml:space="preserve"> milioni di Margine operativo lordo (dato che non possiamo verificare). Ciò significa che il solo inceneritore di Brescia varrebbe circa il 10% del margine operativo lordo dell’intera A2A, pari a 114 milioni di euro rispetto </w:t>
      </w:r>
      <w:proofErr w:type="gramStart"/>
      <w:r w:rsidRPr="00482F3B">
        <w:rPr>
          <w:rFonts w:ascii="Century Gothic" w:hAnsi="Century Gothic"/>
          <w:sz w:val="20"/>
          <w:szCs w:val="20"/>
        </w:rPr>
        <w:t>ad</w:t>
      </w:r>
      <w:proofErr w:type="gramEnd"/>
      <w:r w:rsidRPr="00482F3B">
        <w:rPr>
          <w:rFonts w:ascii="Century Gothic" w:hAnsi="Century Gothic"/>
          <w:sz w:val="20"/>
          <w:szCs w:val="20"/>
        </w:rPr>
        <w:t xml:space="preserve"> un </w:t>
      </w:r>
      <w:proofErr w:type="spellStart"/>
      <w:r w:rsidRPr="00482F3B">
        <w:rPr>
          <w:rFonts w:ascii="Century Gothic" w:hAnsi="Century Gothic"/>
          <w:sz w:val="20"/>
          <w:szCs w:val="20"/>
        </w:rPr>
        <w:t>Mol</w:t>
      </w:r>
      <w:proofErr w:type="spellEnd"/>
      <w:r w:rsidRPr="00482F3B">
        <w:rPr>
          <w:rFonts w:ascii="Century Gothic" w:hAnsi="Century Gothic"/>
          <w:sz w:val="20"/>
          <w:szCs w:val="20"/>
        </w:rPr>
        <w:t xml:space="preserve"> del 2016 pari a 1,22 miliardi </w:t>
      </w:r>
      <w:r>
        <w:rPr>
          <w:rFonts w:ascii="Century Gothic" w:hAnsi="Century Gothic"/>
          <w:sz w:val="20"/>
          <w:szCs w:val="20"/>
        </w:rPr>
        <w:t xml:space="preserve"> </w:t>
      </w:r>
      <w:r w:rsidRPr="00482F3B">
        <w:rPr>
          <w:rFonts w:ascii="Century Gothic" w:hAnsi="Century Gothic"/>
          <w:sz w:val="20"/>
          <w:szCs w:val="20"/>
        </w:rPr>
        <w:t>(http://www.a2a.eu/</w:t>
      </w:r>
      <w:proofErr w:type="spellStart"/>
      <w:r w:rsidRPr="00482F3B">
        <w:rPr>
          <w:rFonts w:ascii="Century Gothic" w:hAnsi="Century Gothic"/>
          <w:sz w:val="20"/>
          <w:szCs w:val="20"/>
        </w:rPr>
        <w:t>it</w:t>
      </w:r>
      <w:proofErr w:type="spellEnd"/>
      <w:r w:rsidRPr="00482F3B">
        <w:rPr>
          <w:rFonts w:ascii="Century Gothic" w:hAnsi="Century Gothic"/>
          <w:sz w:val="20"/>
          <w:szCs w:val="20"/>
        </w:rPr>
        <w:t xml:space="preserve">/investitori/bilanci-relazioni). Se mettiamo insieme l’intero parco </w:t>
      </w:r>
      <w:proofErr w:type="gramStart"/>
      <w:r w:rsidRPr="00482F3B">
        <w:rPr>
          <w:rFonts w:ascii="Century Gothic" w:hAnsi="Century Gothic"/>
          <w:sz w:val="20"/>
          <w:szCs w:val="20"/>
        </w:rPr>
        <w:t xml:space="preserve">di </w:t>
      </w:r>
      <w:proofErr w:type="gramEnd"/>
      <w:r w:rsidRPr="00482F3B">
        <w:rPr>
          <w:rFonts w:ascii="Century Gothic" w:hAnsi="Century Gothic"/>
          <w:sz w:val="20"/>
          <w:szCs w:val="20"/>
        </w:rPr>
        <w:t xml:space="preserve">inceneritori di A2A, ammettendo un analogo rendimento economico, significherebbe che circa un terzo del </w:t>
      </w:r>
      <w:proofErr w:type="spellStart"/>
      <w:r w:rsidRPr="00482F3B">
        <w:rPr>
          <w:rFonts w:ascii="Century Gothic" w:hAnsi="Century Gothic"/>
          <w:sz w:val="20"/>
          <w:szCs w:val="20"/>
        </w:rPr>
        <w:t>Mol</w:t>
      </w:r>
      <w:proofErr w:type="spellEnd"/>
      <w:r w:rsidRPr="00482F3B">
        <w:rPr>
          <w:rFonts w:ascii="Century Gothic" w:hAnsi="Century Gothic"/>
          <w:sz w:val="20"/>
          <w:szCs w:val="20"/>
        </w:rPr>
        <w:t xml:space="preserve"> di A2A dipende dall’incenerimento dei rifiuti. Si comprende così perché A2A sia impegnata </w:t>
      </w:r>
      <w:proofErr w:type="gramStart"/>
      <w:r w:rsidRPr="00482F3B">
        <w:rPr>
          <w:rFonts w:ascii="Century Gothic" w:hAnsi="Century Gothic"/>
          <w:sz w:val="20"/>
          <w:szCs w:val="20"/>
        </w:rPr>
        <w:t>ad</w:t>
      </w:r>
      <w:proofErr w:type="gramEnd"/>
      <w:r w:rsidRPr="00482F3B">
        <w:rPr>
          <w:rFonts w:ascii="Century Gothic" w:hAnsi="Century Gothic"/>
          <w:sz w:val="20"/>
          <w:szCs w:val="20"/>
        </w:rPr>
        <w:t xml:space="preserve"> espandere questo settore sia in Lombardia che in Sicilia, in clamorosa contraddizione con la propagandata “svolta green”.</w:t>
      </w:r>
    </w:p>
    <w:p w:rsidR="009F1770" w:rsidRPr="00044608" w:rsidRDefault="009F1770" w:rsidP="00482F3B">
      <w:pPr>
        <w:jc w:val="both"/>
        <w:rPr>
          <w:rFonts w:ascii="Century Gothic" w:hAnsi="Century Gothic"/>
          <w:sz w:val="20"/>
          <w:szCs w:val="20"/>
        </w:rPr>
      </w:pPr>
      <w:r w:rsidRPr="00482F3B">
        <w:rPr>
          <w:rFonts w:ascii="Century Gothic" w:hAnsi="Century Gothic"/>
          <w:sz w:val="20"/>
          <w:szCs w:val="20"/>
        </w:rPr>
        <w:t>Non è possibile sapere quanto incida sul M</w:t>
      </w:r>
      <w:r>
        <w:rPr>
          <w:rFonts w:ascii="Century Gothic" w:hAnsi="Century Gothic"/>
          <w:sz w:val="20"/>
          <w:szCs w:val="20"/>
        </w:rPr>
        <w:t>OL</w:t>
      </w:r>
      <w:r w:rsidRPr="00482F3B">
        <w:rPr>
          <w:rFonts w:ascii="Century Gothic" w:hAnsi="Century Gothic"/>
          <w:sz w:val="20"/>
          <w:szCs w:val="20"/>
        </w:rPr>
        <w:t xml:space="preserve"> il teleriscaldamento, perché il dato non </w:t>
      </w:r>
      <w:proofErr w:type="gramStart"/>
      <w:r w:rsidRPr="00482F3B">
        <w:rPr>
          <w:rFonts w:ascii="Century Gothic" w:hAnsi="Century Gothic"/>
          <w:sz w:val="20"/>
          <w:szCs w:val="20"/>
        </w:rPr>
        <w:t>viene</w:t>
      </w:r>
      <w:proofErr w:type="gramEnd"/>
      <w:r w:rsidRPr="00482F3B">
        <w:rPr>
          <w:rFonts w:ascii="Century Gothic" w:hAnsi="Century Gothic"/>
          <w:sz w:val="20"/>
          <w:szCs w:val="20"/>
        </w:rPr>
        <w:t xml:space="preserve"> fornito dai professori, anche se si evince che un ipotizzato ampliamento della rete di circa il 10/%  (</w:t>
      </w:r>
      <w:proofErr w:type="spellStart"/>
      <w:r w:rsidRPr="00482F3B">
        <w:rPr>
          <w:rFonts w:ascii="Century Gothic" w:hAnsi="Century Gothic"/>
          <w:sz w:val="20"/>
          <w:szCs w:val="20"/>
        </w:rPr>
        <w:t>sl</w:t>
      </w:r>
      <w:proofErr w:type="spellEnd"/>
      <w:r w:rsidRPr="00482F3B">
        <w:rPr>
          <w:rFonts w:ascii="Century Gothic" w:hAnsi="Century Gothic"/>
          <w:sz w:val="20"/>
          <w:szCs w:val="20"/>
        </w:rPr>
        <w:t>. 88)</w:t>
      </w:r>
      <w:r>
        <w:rPr>
          <w:rFonts w:ascii="Century Gothic" w:hAnsi="Century Gothic"/>
          <w:sz w:val="20"/>
          <w:szCs w:val="20"/>
        </w:rPr>
        <w:t xml:space="preserve"> </w:t>
      </w:r>
      <w:r w:rsidRPr="00482F3B">
        <w:rPr>
          <w:rFonts w:ascii="Century Gothic" w:hAnsi="Century Gothic"/>
          <w:sz w:val="20"/>
          <w:szCs w:val="20"/>
        </w:rPr>
        <w:t xml:space="preserve">produrrebbe un aumento del </w:t>
      </w:r>
      <w:proofErr w:type="spellStart"/>
      <w:r w:rsidRPr="00482F3B">
        <w:rPr>
          <w:rFonts w:ascii="Century Gothic" w:hAnsi="Century Gothic"/>
          <w:sz w:val="20"/>
          <w:szCs w:val="20"/>
        </w:rPr>
        <w:t>Mol</w:t>
      </w:r>
      <w:proofErr w:type="spellEnd"/>
      <w:r w:rsidRPr="00482F3B">
        <w:rPr>
          <w:rFonts w:ascii="Century Gothic" w:hAnsi="Century Gothic"/>
          <w:sz w:val="20"/>
          <w:szCs w:val="20"/>
        </w:rPr>
        <w:t xml:space="preserve"> pari a circa 5 milioni di euro l’anno: </w:t>
      </w:r>
      <w:r w:rsidRPr="00044608">
        <w:rPr>
          <w:rFonts w:ascii="Century Gothic" w:hAnsi="Century Gothic"/>
          <w:sz w:val="20"/>
          <w:szCs w:val="20"/>
        </w:rPr>
        <w:t>quindi si potrebbero ipotizzare in circa 50 milioni il margine operativo lordo prodotto dal teleriscaldamento da aggiungere ai 118 milioni dell’inceneritore. Insomma il sistema Brescia è davvero la “gallina dalle uova d’oro” di A2A.</w:t>
      </w: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Questo dei profitti garantiti dal sistema sembra alla fine il vero e unico argomento per sostenere che il sistema è intoccabile e che anzi andrebbe ampliato. </w:t>
      </w: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Ma questo sistema gestisce dei servizi pubblici essenziali (rifiuti e riscaldamento delle case) in regime di assoluto monopolio, perché i cittadini non sono liberi di scegliere un altro operatore per soddisfare questi servizi e devono subire le tariffe imposte, senza concorrenza, da A2A, che ovviamente le stabilisce in funzione di un margine elevato </w:t>
      </w:r>
      <w:proofErr w:type="gramStart"/>
      <w:r w:rsidRPr="00482F3B">
        <w:rPr>
          <w:rFonts w:ascii="Century Gothic" w:hAnsi="Century Gothic"/>
          <w:sz w:val="20"/>
          <w:szCs w:val="20"/>
        </w:rPr>
        <w:t>ed</w:t>
      </w:r>
      <w:proofErr w:type="gramEnd"/>
      <w:r w:rsidRPr="00482F3B">
        <w:rPr>
          <w:rFonts w:ascii="Century Gothic" w:hAnsi="Century Gothic"/>
          <w:sz w:val="20"/>
          <w:szCs w:val="20"/>
        </w:rPr>
        <w:t xml:space="preserve"> arbitrariamente deciso. </w:t>
      </w: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Al tempo di </w:t>
      </w:r>
      <w:r w:rsidRPr="00455792">
        <w:rPr>
          <w:rFonts w:ascii="Century Gothic" w:hAnsi="Century Gothic"/>
          <w:sz w:val="20"/>
          <w:szCs w:val="20"/>
        </w:rPr>
        <w:t>ASM</w:t>
      </w:r>
      <w:r w:rsidRPr="00482F3B">
        <w:rPr>
          <w:rFonts w:ascii="Century Gothic" w:hAnsi="Century Gothic"/>
          <w:sz w:val="20"/>
          <w:szCs w:val="20"/>
        </w:rPr>
        <w:t xml:space="preserve">, si giustificava questo meccanismo di prelievo forzoso nei confronti dei cittadini bresciani con il fatto che tutti gli utili di </w:t>
      </w:r>
      <w:r w:rsidRPr="00455792">
        <w:rPr>
          <w:rFonts w:ascii="Century Gothic" w:hAnsi="Century Gothic"/>
          <w:sz w:val="20"/>
          <w:szCs w:val="20"/>
        </w:rPr>
        <w:t>ASM</w:t>
      </w:r>
      <w:proofErr w:type="gramStart"/>
      <w:r w:rsidRPr="00455792">
        <w:rPr>
          <w:rFonts w:ascii="Century Gothic" w:hAnsi="Century Gothic"/>
          <w:sz w:val="20"/>
          <w:szCs w:val="20"/>
        </w:rPr>
        <w:t xml:space="preserve">  </w:t>
      </w:r>
      <w:proofErr w:type="gramEnd"/>
      <w:r w:rsidRPr="00482F3B">
        <w:rPr>
          <w:rFonts w:ascii="Century Gothic" w:hAnsi="Century Gothic"/>
          <w:sz w:val="20"/>
          <w:szCs w:val="20"/>
        </w:rPr>
        <w:t>rientravano nel Comune di Brescia per essere impiegati in opere pubbliche di cui avrebbero beneficiato i cittadini stessi.</w:t>
      </w: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Ma con A2A non è più così: la metà </w:t>
      </w:r>
      <w:proofErr w:type="gramStart"/>
      <w:r w:rsidRPr="00482F3B">
        <w:rPr>
          <w:rFonts w:ascii="Century Gothic" w:hAnsi="Century Gothic"/>
          <w:sz w:val="20"/>
          <w:szCs w:val="20"/>
        </w:rPr>
        <w:t>vanno</w:t>
      </w:r>
      <w:proofErr w:type="gramEnd"/>
      <w:r w:rsidRPr="00482F3B">
        <w:rPr>
          <w:rFonts w:ascii="Century Gothic" w:hAnsi="Century Gothic"/>
          <w:sz w:val="20"/>
          <w:szCs w:val="20"/>
        </w:rPr>
        <w:t xml:space="preserve"> distribuiti ai privati che detengono azioni di A2A. </w:t>
      </w:r>
      <w:r>
        <w:rPr>
          <w:rFonts w:ascii="Century Gothic" w:hAnsi="Century Gothic"/>
          <w:sz w:val="20"/>
          <w:szCs w:val="20"/>
        </w:rPr>
        <w:t>L</w:t>
      </w:r>
      <w:r w:rsidRPr="00482F3B">
        <w:rPr>
          <w:rFonts w:ascii="Century Gothic" w:hAnsi="Century Gothic"/>
          <w:sz w:val="20"/>
          <w:szCs w:val="20"/>
        </w:rPr>
        <w:t xml:space="preserve">a </w:t>
      </w:r>
      <w:proofErr w:type="gramStart"/>
      <w:r w:rsidRPr="00482F3B">
        <w:rPr>
          <w:rFonts w:ascii="Century Gothic" w:hAnsi="Century Gothic"/>
          <w:sz w:val="20"/>
          <w:szCs w:val="20"/>
        </w:rPr>
        <w:t>collocazione</w:t>
      </w:r>
      <w:proofErr w:type="gramEnd"/>
      <w:r w:rsidRPr="00482F3B">
        <w:rPr>
          <w:rFonts w:ascii="Century Gothic" w:hAnsi="Century Gothic"/>
          <w:sz w:val="20"/>
          <w:szCs w:val="20"/>
        </w:rPr>
        <w:t xml:space="preserve"> sul mercato di A2A è una beffa per i cittadini bresciani: il mercato funziona per la distribuzione degli utili, ma non  per produrre questi utili, dove non vi è alcuna concorrenza nel definire le tariffe e i cittadini sono vessati da un regime sostanzialmente monopolistico cui non possono sottrarsi.  </w:t>
      </w:r>
    </w:p>
    <w:p w:rsidR="009F1770" w:rsidRPr="00482F3B" w:rsidRDefault="009F1770" w:rsidP="00482F3B">
      <w:pPr>
        <w:jc w:val="both"/>
        <w:rPr>
          <w:rFonts w:ascii="Century Gothic" w:hAnsi="Century Gothic"/>
          <w:sz w:val="20"/>
          <w:szCs w:val="20"/>
        </w:rPr>
      </w:pPr>
      <w:r w:rsidRPr="00482F3B">
        <w:rPr>
          <w:rFonts w:ascii="Century Gothic" w:hAnsi="Century Gothic"/>
          <w:sz w:val="20"/>
          <w:szCs w:val="20"/>
        </w:rPr>
        <w:t xml:space="preserve">Tutto ciò va benissimo ad A2A, nonostante confligga con quanto </w:t>
      </w:r>
      <w:proofErr w:type="gramStart"/>
      <w:r w:rsidRPr="00482F3B">
        <w:rPr>
          <w:rFonts w:ascii="Century Gothic" w:hAnsi="Century Gothic"/>
          <w:sz w:val="20"/>
          <w:szCs w:val="20"/>
        </w:rPr>
        <w:t>viene</w:t>
      </w:r>
      <w:proofErr w:type="gramEnd"/>
      <w:r w:rsidRPr="00482F3B">
        <w:rPr>
          <w:rFonts w:ascii="Century Gothic" w:hAnsi="Century Gothic"/>
          <w:sz w:val="20"/>
          <w:szCs w:val="20"/>
        </w:rPr>
        <w:t xml:space="preserve"> insegnato nelle aule della Bocconi, il tempio della celebrazione del mercato e della concorrenza.</w:t>
      </w:r>
    </w:p>
    <w:p w:rsidR="009F1770" w:rsidRPr="00482F3B" w:rsidRDefault="009F1770" w:rsidP="00482F3B">
      <w:pPr>
        <w:jc w:val="both"/>
        <w:rPr>
          <w:rFonts w:ascii="Century Gothic" w:hAnsi="Century Gothic"/>
          <w:sz w:val="20"/>
          <w:szCs w:val="20"/>
        </w:rPr>
      </w:pPr>
      <w:proofErr w:type="gramStart"/>
      <w:r w:rsidRPr="00482F3B">
        <w:rPr>
          <w:rFonts w:ascii="Century Gothic" w:hAnsi="Century Gothic"/>
          <w:sz w:val="20"/>
          <w:szCs w:val="20"/>
        </w:rPr>
        <w:t>Ma</w:t>
      </w:r>
      <w:proofErr w:type="gramEnd"/>
      <w:r w:rsidRPr="00482F3B">
        <w:rPr>
          <w:rFonts w:ascii="Century Gothic" w:hAnsi="Century Gothic"/>
          <w:sz w:val="20"/>
          <w:szCs w:val="20"/>
        </w:rPr>
        <w:t xml:space="preserve"> non può andar bene all’interesse pubblico che un’Amministrazione dovrebbe tutelare.</w:t>
      </w:r>
    </w:p>
    <w:p w:rsidR="009F1770" w:rsidRDefault="009F1770" w:rsidP="00AF3EF0">
      <w:pPr>
        <w:jc w:val="both"/>
        <w:rPr>
          <w:rFonts w:ascii="Century Gothic" w:hAnsi="Century Gothic"/>
          <w:sz w:val="20"/>
          <w:szCs w:val="20"/>
        </w:rPr>
      </w:pPr>
      <w:r>
        <w:rPr>
          <w:rFonts w:ascii="Century Gothic" w:hAnsi="Century Gothic"/>
          <w:sz w:val="20"/>
          <w:szCs w:val="20"/>
        </w:rPr>
        <w:t>S</w:t>
      </w:r>
      <w:r w:rsidRPr="00482F3B">
        <w:rPr>
          <w:rFonts w:ascii="Century Gothic" w:hAnsi="Century Gothic"/>
          <w:sz w:val="20"/>
          <w:szCs w:val="20"/>
        </w:rPr>
        <w:t xml:space="preserve">u questo piano vi è un </w:t>
      </w:r>
      <w:proofErr w:type="gramStart"/>
      <w:r w:rsidRPr="00482F3B">
        <w:rPr>
          <w:rFonts w:ascii="Century Gothic" w:hAnsi="Century Gothic"/>
          <w:sz w:val="20"/>
          <w:szCs w:val="20"/>
        </w:rPr>
        <w:t>ulteriore</w:t>
      </w:r>
      <w:proofErr w:type="gramEnd"/>
      <w:r w:rsidRPr="00482F3B">
        <w:rPr>
          <w:rFonts w:ascii="Century Gothic" w:hAnsi="Century Gothic"/>
          <w:sz w:val="20"/>
          <w:szCs w:val="20"/>
        </w:rPr>
        <w:t xml:space="preserve"> paradosso: con la collocazione in borsa l’Amministrazione comunale, che pure con Milano detiene circa il 50% delle quote, non ha più alcun potere, perché vale la sola legge del mercato della distribuzione degli utili e della conseguente valutazione delle azioni: valorizzazioni cui la stessa Amministrazione è legata per far quadrare i bilanci, in particolare il peso debitorio della metropolitana. Insomma, non solo i cittadini sono ostaggio del sistema A2A ma anche la stessa Amministrazione comunale, come si evince dal fatto che sia la politica energetica che quella dei rifiuti è sostanzialmente delegata alla stessa A2A.</w:t>
      </w:r>
      <w:r>
        <w:rPr>
          <w:rFonts w:ascii="Century Gothic" w:hAnsi="Century Gothic"/>
          <w:sz w:val="20"/>
          <w:szCs w:val="20"/>
        </w:rPr>
        <w:t xml:space="preserve"> </w:t>
      </w:r>
      <w:r w:rsidRPr="00455792">
        <w:rPr>
          <w:rFonts w:ascii="Century Gothic" w:hAnsi="Century Gothic"/>
          <w:sz w:val="20"/>
          <w:szCs w:val="20"/>
        </w:rPr>
        <w:t xml:space="preserve">Perversione del sistema che lo stesso studio in esame conferma: commissionato dall’Ente pubblico, l’argomento dirimente usato è il profitto di A2A, che è ben altra cosa rispetto all’interesse dei cittadini </w:t>
      </w:r>
      <w:proofErr w:type="gramStart"/>
      <w:r w:rsidRPr="00455792">
        <w:rPr>
          <w:rFonts w:ascii="Century Gothic" w:hAnsi="Century Gothic"/>
          <w:sz w:val="20"/>
          <w:szCs w:val="20"/>
        </w:rPr>
        <w:t>ed</w:t>
      </w:r>
      <w:proofErr w:type="gramEnd"/>
      <w:r w:rsidRPr="00455792">
        <w:rPr>
          <w:rFonts w:ascii="Century Gothic" w:hAnsi="Century Gothic"/>
          <w:sz w:val="20"/>
          <w:szCs w:val="20"/>
        </w:rPr>
        <w:t xml:space="preserve"> al bene pubblico.</w:t>
      </w:r>
    </w:p>
    <w:p w:rsidR="009F1770" w:rsidRPr="002D25A1" w:rsidRDefault="009F1770" w:rsidP="002D25A1">
      <w:pPr>
        <w:pStyle w:val="Titolo3"/>
      </w:pPr>
      <w:r>
        <w:t xml:space="preserve">3. </w:t>
      </w:r>
      <w:r w:rsidRPr="002D25A1">
        <w:t xml:space="preserve">Considerazioni </w:t>
      </w:r>
      <w:r>
        <w:t>e proposte</w:t>
      </w:r>
    </w:p>
    <w:p w:rsidR="009F1770" w:rsidRPr="00C370CF" w:rsidRDefault="009F1770" w:rsidP="00AF3EF0">
      <w:pPr>
        <w:jc w:val="both"/>
        <w:rPr>
          <w:rFonts w:ascii="Century Gothic" w:hAnsi="Century Gothic"/>
          <w:sz w:val="20"/>
          <w:szCs w:val="20"/>
        </w:rPr>
      </w:pPr>
    </w:p>
    <w:p w:rsidR="009F1770" w:rsidRDefault="009F1770" w:rsidP="00E86582">
      <w:pPr>
        <w:jc w:val="both"/>
        <w:rPr>
          <w:rFonts w:ascii="Century Gothic" w:hAnsi="Century Gothic"/>
          <w:sz w:val="20"/>
          <w:szCs w:val="20"/>
        </w:rPr>
      </w:pPr>
      <w:r>
        <w:rPr>
          <w:rFonts w:ascii="Century Gothic" w:hAnsi="Century Gothic"/>
          <w:sz w:val="20"/>
          <w:szCs w:val="20"/>
        </w:rPr>
        <w:t xml:space="preserve">Lo scenario C è individuato dallo studio come preferibile. Prevede la chiusura della centrale di Lamarmora, a carbone, inevitabile in base alla strategia di fuoriuscita dal carbone contenuta nella SEN 2017.  Potrebbe essere sostituita dal mix tecnologico di pompe di calore, solare termico, </w:t>
      </w:r>
      <w:r w:rsidRPr="00044608">
        <w:rPr>
          <w:rFonts w:ascii="Century Gothic" w:hAnsi="Century Gothic"/>
          <w:sz w:val="20"/>
          <w:szCs w:val="20"/>
        </w:rPr>
        <w:t>recuperi industriali</w:t>
      </w:r>
      <w:r>
        <w:rPr>
          <w:rFonts w:ascii="Century Gothic" w:hAnsi="Century Gothic"/>
          <w:sz w:val="20"/>
          <w:szCs w:val="20"/>
        </w:rPr>
        <w:t xml:space="preserve">. Grazie agli accumuli, e soprattutto grazie all’ampliamento della rete, sarebbe incrementato l’utilizzo dell’inceneritore. Il limite di questo scenario è che il modello software non consente di modificare taglia e combustibile di Lamarmora, e di ipotizzare che l’inceneritore usato in condizioni di emergenza possa operare a metano. Sembrano più vincoli di A2A che </w:t>
      </w:r>
      <w:proofErr w:type="gramStart"/>
      <w:r>
        <w:rPr>
          <w:rFonts w:ascii="Century Gothic" w:hAnsi="Century Gothic"/>
          <w:sz w:val="20"/>
          <w:szCs w:val="20"/>
        </w:rPr>
        <w:t>vincoli</w:t>
      </w:r>
      <w:proofErr w:type="gramEnd"/>
      <w:r>
        <w:rPr>
          <w:rFonts w:ascii="Century Gothic" w:hAnsi="Century Gothic"/>
          <w:sz w:val="20"/>
          <w:szCs w:val="20"/>
        </w:rPr>
        <w:t xml:space="preserve"> di un codice di calcolo.</w:t>
      </w:r>
    </w:p>
    <w:p w:rsidR="009F1770" w:rsidRDefault="009F1770" w:rsidP="00E86582">
      <w:pPr>
        <w:jc w:val="both"/>
        <w:rPr>
          <w:rFonts w:ascii="Century Gothic" w:hAnsi="Century Gothic"/>
          <w:sz w:val="20"/>
          <w:szCs w:val="20"/>
        </w:rPr>
      </w:pPr>
      <w:r>
        <w:rPr>
          <w:rFonts w:ascii="Century Gothic" w:hAnsi="Century Gothic"/>
          <w:sz w:val="20"/>
          <w:szCs w:val="20"/>
        </w:rPr>
        <w:t>Le tecnologie centralizzate proposte nello studio sono sempre funzionali al mantenimento del sistema impiantistico centralizzato attuale.</w:t>
      </w:r>
    </w:p>
    <w:p w:rsidR="009F1770" w:rsidRPr="00455792" w:rsidRDefault="009F1770" w:rsidP="00AF3EF0">
      <w:pPr>
        <w:jc w:val="both"/>
        <w:rPr>
          <w:rFonts w:ascii="Century Gothic" w:hAnsi="Century Gothic"/>
          <w:sz w:val="20"/>
          <w:szCs w:val="20"/>
        </w:rPr>
      </w:pPr>
      <w:r>
        <w:rPr>
          <w:rFonts w:ascii="Century Gothic" w:hAnsi="Century Gothic"/>
          <w:sz w:val="20"/>
          <w:szCs w:val="20"/>
        </w:rPr>
        <w:t xml:space="preserve">I cambiamenti climatici si stanno manifestando su scala continentale, tutti se ne rendono conto tranne la classe politica al governo </w:t>
      </w:r>
      <w:r w:rsidRPr="00455792">
        <w:rPr>
          <w:rFonts w:ascii="Century Gothic" w:hAnsi="Century Gothic"/>
          <w:sz w:val="20"/>
          <w:szCs w:val="20"/>
        </w:rPr>
        <w:t xml:space="preserve">e gli estensori dello studio. </w:t>
      </w:r>
    </w:p>
    <w:p w:rsidR="009F1770" w:rsidRDefault="009F1770" w:rsidP="00AF3EF0">
      <w:pPr>
        <w:jc w:val="both"/>
        <w:rPr>
          <w:rFonts w:ascii="Century Gothic" w:hAnsi="Century Gothic"/>
          <w:sz w:val="20"/>
          <w:szCs w:val="20"/>
        </w:rPr>
      </w:pPr>
      <w:r>
        <w:rPr>
          <w:rFonts w:ascii="Century Gothic" w:hAnsi="Century Gothic"/>
          <w:sz w:val="20"/>
          <w:szCs w:val="20"/>
        </w:rPr>
        <w:t>Deve essere data massima priorità alla riduzione dei carichi, ossia dei consumi, investendo risorse ingenti, perché gli studi più avanzati scientifico</w:t>
      </w:r>
      <w:r w:rsidRPr="00896480">
        <w:rPr>
          <w:rFonts w:ascii="Century Gothic" w:hAnsi="Century Gothic"/>
          <w:color w:val="FF0000"/>
          <w:sz w:val="20"/>
          <w:szCs w:val="20"/>
        </w:rPr>
        <w:t>-</w:t>
      </w:r>
      <w:r>
        <w:rPr>
          <w:rFonts w:ascii="Century Gothic" w:hAnsi="Century Gothic"/>
          <w:sz w:val="20"/>
          <w:szCs w:val="20"/>
        </w:rPr>
        <w:t xml:space="preserve">tecnici affermano che l’efficienza consegue i suoi maggiori risultati con gli interventi di conservazione dell’energia. Al secondo posto viene l’efficienza di produzione. Ma i professori estensori dello studio, esperti </w:t>
      </w:r>
      <w:proofErr w:type="gramStart"/>
      <w:r>
        <w:rPr>
          <w:rFonts w:ascii="Century Gothic" w:hAnsi="Century Gothic"/>
          <w:sz w:val="20"/>
          <w:szCs w:val="20"/>
        </w:rPr>
        <w:t xml:space="preserve">di </w:t>
      </w:r>
      <w:proofErr w:type="gramEnd"/>
      <w:r>
        <w:rPr>
          <w:rFonts w:ascii="Century Gothic" w:hAnsi="Century Gothic"/>
          <w:sz w:val="20"/>
          <w:szCs w:val="20"/>
        </w:rPr>
        <w:t>incenerimento e di cogenerazione, non ce lo dicono.</w:t>
      </w:r>
    </w:p>
    <w:p w:rsidR="009F1770" w:rsidRPr="00455792" w:rsidRDefault="009F1770" w:rsidP="00232C56">
      <w:pPr>
        <w:jc w:val="both"/>
        <w:rPr>
          <w:rFonts w:ascii="Century Gothic" w:hAnsi="Century Gothic"/>
          <w:sz w:val="20"/>
          <w:szCs w:val="20"/>
        </w:rPr>
      </w:pPr>
      <w:r>
        <w:rPr>
          <w:rFonts w:ascii="Century Gothic" w:hAnsi="Century Gothic"/>
          <w:sz w:val="20"/>
          <w:szCs w:val="20"/>
        </w:rPr>
        <w:t xml:space="preserve">Lo scenario B è preferibile, perché riduce gli impatti ambientali, la dipendenza dall’importazione di rifiuti, </w:t>
      </w:r>
      <w:r w:rsidRPr="00455792">
        <w:rPr>
          <w:rFonts w:ascii="Century Gothic" w:hAnsi="Century Gothic"/>
          <w:sz w:val="20"/>
          <w:szCs w:val="20"/>
        </w:rPr>
        <w:t xml:space="preserve">aumenterebbe la possibilità per le fonti rinnovabili di coprire i fabbisogni. Deve essere associato al funzionamento della centrale di Lamarmora a metano, con sua riduzione di potenza, per ridurre gli sprechi di calore nella stagione estiva.  Inoltre, come sosteniamo nel nostro studio, deve essere accompagnato da un massiccio intervento per la riduzione del fabbisogno di calore, con l’efficientamento energetico degli edifici. </w:t>
      </w:r>
    </w:p>
    <w:p w:rsidR="009F1770" w:rsidRDefault="009F1770" w:rsidP="00232C56">
      <w:pPr>
        <w:jc w:val="both"/>
        <w:rPr>
          <w:rFonts w:ascii="Century Gothic" w:hAnsi="Century Gothic"/>
          <w:sz w:val="20"/>
          <w:szCs w:val="20"/>
        </w:rPr>
      </w:pPr>
      <w:r>
        <w:rPr>
          <w:rFonts w:ascii="Century Gothic" w:hAnsi="Century Gothic"/>
          <w:sz w:val="20"/>
          <w:szCs w:val="20"/>
        </w:rPr>
        <w:t xml:space="preserve">Dovranno poi essere implementate le tecnologie delle pompe di calore e del solare termico, principalmente </w:t>
      </w:r>
      <w:r w:rsidRPr="00044608">
        <w:rPr>
          <w:rFonts w:ascii="Century Gothic" w:hAnsi="Century Gothic"/>
          <w:sz w:val="20"/>
          <w:szCs w:val="20"/>
        </w:rPr>
        <w:t>decentrate</w:t>
      </w:r>
      <w:r>
        <w:rPr>
          <w:rFonts w:ascii="Century Gothic" w:hAnsi="Century Gothic"/>
          <w:sz w:val="20"/>
          <w:szCs w:val="20"/>
        </w:rPr>
        <w:t xml:space="preserve">, contestualmente riducendo le temperature di esercizio delle reti, </w:t>
      </w:r>
      <w:proofErr w:type="gramStart"/>
      <w:r>
        <w:rPr>
          <w:rFonts w:ascii="Century Gothic" w:hAnsi="Century Gothic"/>
          <w:sz w:val="20"/>
          <w:szCs w:val="20"/>
        </w:rPr>
        <w:t>a partire da</w:t>
      </w:r>
      <w:proofErr w:type="gramEnd"/>
      <w:r>
        <w:rPr>
          <w:rFonts w:ascii="Century Gothic" w:hAnsi="Century Gothic"/>
          <w:sz w:val="20"/>
          <w:szCs w:val="20"/>
        </w:rPr>
        <w:t xml:space="preserve"> quartieri pilota, e da edifici pilota, che saranno stati riqualificati. </w:t>
      </w:r>
    </w:p>
    <w:p w:rsidR="009F1770" w:rsidRDefault="009F1770" w:rsidP="00232C56">
      <w:pPr>
        <w:jc w:val="both"/>
        <w:rPr>
          <w:rFonts w:ascii="Century Gothic" w:hAnsi="Century Gothic"/>
          <w:sz w:val="20"/>
          <w:szCs w:val="20"/>
        </w:rPr>
      </w:pPr>
    </w:p>
    <w:p w:rsidR="009F1770" w:rsidRDefault="009F1770" w:rsidP="00232C56">
      <w:pPr>
        <w:jc w:val="both"/>
        <w:rPr>
          <w:rFonts w:ascii="Century Gothic" w:hAnsi="Century Gothic"/>
          <w:sz w:val="20"/>
          <w:szCs w:val="20"/>
        </w:rPr>
      </w:pPr>
      <w:r>
        <w:rPr>
          <w:rFonts w:ascii="Century Gothic" w:hAnsi="Century Gothic"/>
          <w:sz w:val="20"/>
          <w:szCs w:val="20"/>
        </w:rPr>
        <w:t>Massimo Cerani</w:t>
      </w:r>
    </w:p>
    <w:p w:rsidR="009F1770" w:rsidRDefault="009F1770" w:rsidP="00232C56">
      <w:pPr>
        <w:jc w:val="both"/>
        <w:rPr>
          <w:rFonts w:ascii="Century Gothic" w:hAnsi="Century Gothic"/>
          <w:sz w:val="20"/>
          <w:szCs w:val="20"/>
        </w:rPr>
      </w:pPr>
      <w:r>
        <w:rPr>
          <w:rFonts w:ascii="Century Gothic" w:hAnsi="Century Gothic"/>
          <w:sz w:val="20"/>
          <w:szCs w:val="20"/>
        </w:rPr>
        <w:t>Marino Ruzzenenti</w:t>
      </w:r>
    </w:p>
    <w:p w:rsidR="009F1770" w:rsidRDefault="009F1770" w:rsidP="00232C56">
      <w:pPr>
        <w:jc w:val="both"/>
        <w:rPr>
          <w:rFonts w:ascii="Century Gothic" w:hAnsi="Century Gothic"/>
          <w:sz w:val="20"/>
          <w:szCs w:val="20"/>
        </w:rPr>
      </w:pPr>
      <w:r>
        <w:rPr>
          <w:rFonts w:ascii="Century Gothic" w:hAnsi="Century Gothic"/>
          <w:sz w:val="20"/>
          <w:szCs w:val="20"/>
        </w:rPr>
        <w:t>Pietro Zanotti</w:t>
      </w:r>
    </w:p>
    <w:p w:rsidR="009F1770" w:rsidRPr="005E0135" w:rsidRDefault="009F1770" w:rsidP="00232C56">
      <w:pPr>
        <w:jc w:val="both"/>
        <w:rPr>
          <w:rFonts w:ascii="Century Gothic" w:hAnsi="Century Gothic"/>
          <w:sz w:val="20"/>
          <w:szCs w:val="20"/>
        </w:rPr>
      </w:pPr>
      <w:r w:rsidRPr="005E0135">
        <w:rPr>
          <w:rFonts w:ascii="Century Gothic" w:hAnsi="Century Gothic"/>
          <w:sz w:val="20"/>
          <w:szCs w:val="20"/>
        </w:rPr>
        <w:t xml:space="preserve">Gabriele Pellegrini </w:t>
      </w:r>
    </w:p>
    <w:sectPr w:rsidR="009F1770" w:rsidRPr="005E0135" w:rsidSect="005743D7">
      <w:headerReference w:type="default" r:id="rId14"/>
      <w:footerReference w:type="even" r:id="rId15"/>
      <w:footerReference w:type="default" r:id="rId16"/>
      <w:pgSz w:w="11907" w:h="16839"/>
      <w:pgMar w:top="1418" w:right="1050" w:bottom="1418" w:left="1050" w:header="612" w:footer="459" w:gutter="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7B" w:rsidRDefault="00DB3C7B">
      <w:pPr>
        <w:spacing w:after="0" w:line="240" w:lineRule="auto"/>
      </w:pPr>
      <w:r>
        <w:separator/>
      </w:r>
    </w:p>
  </w:endnote>
  <w:endnote w:type="continuationSeparator" w:id="0">
    <w:p w:rsidR="00DB3C7B" w:rsidRDefault="00DB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70" w:rsidRDefault="009F1770">
    <w:pPr>
      <w:jc w:val="right"/>
    </w:pPr>
  </w:p>
  <w:p w:rsidR="009F1770" w:rsidRDefault="009063B2">
    <w:pPr>
      <w:jc w:val="right"/>
    </w:pPr>
    <w:r>
      <w:fldChar w:fldCharType="begin"/>
    </w:r>
    <w:r>
      <w:instrText>PAGE   \* MERGEFORMAT</w:instrText>
    </w:r>
    <w:r>
      <w:fldChar w:fldCharType="separate"/>
    </w:r>
    <w:r w:rsidR="00EF15FD">
      <w:rPr>
        <w:noProof/>
      </w:rPr>
      <w:t>11</w:t>
    </w:r>
    <w:r>
      <w:rPr>
        <w:noProof/>
      </w:rPr>
      <w:fldChar w:fldCharType="end"/>
    </w:r>
    <w:r w:rsidR="009F1770">
      <w:t xml:space="preserve"> </w:t>
    </w:r>
    <w:r w:rsidR="009F1770">
      <w:rPr>
        <w:color w:val="E68422"/>
      </w:rPr>
      <w:sym w:font="Wingdings 2" w:char="F097"/>
    </w:r>
    <w:r w:rsidR="009F1770">
      <w:t xml:space="preserve"> </w:t>
    </w:r>
  </w:p>
  <w:p w:rsidR="009F1770" w:rsidRDefault="00455792">
    <w:pPr>
      <w:jc w:val="right"/>
    </w:pPr>
    <w:r>
      <w:rPr>
        <w:noProof/>
      </w:rPr>
      <mc:AlternateContent>
        <mc:Choice Requires="wpg">
          <w:drawing>
            <wp:inline distT="0" distB="0" distL="0" distR="0" wp14:anchorId="61DC2785" wp14:editId="55E507D6">
              <wp:extent cx="2327910" cy="45085"/>
              <wp:effectExtent l="9525" t="9525" r="15240" b="12065"/>
              <wp:docPr id="1"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2" name="AutoShape 5"/>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Lst>
                      </wps:spPr>
                      <wps:bodyPr/>
                    </wps:wsp>
                    <wps:wsp>
                      <wps:cNvPr id="3" name="AutoShape 6"/>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o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IrsQAAADaAAAADwAAAGRycy9kb3ducmV2LnhtbESPQWvCQBSE70L/w/IKvekmOZQSXYMI&#10;Qg+10FREb8/sM5s2+zZkV03667uFgsdhZr5hFsVgW3Gl3jeOFaSzBARx5XTDtYLd52b6AsIHZI2t&#10;Y1Iwkodi+TBZYK7djT/oWoZaRAj7HBWYELpcSl8ZsuhnriOO3tn1FkOUfS11j7cIt63MkuRZWmw4&#10;LhjsaG2o+i4vVsE+26YHc/qSo3//eTuW9VGOulPq6XFYzUEEGsI9/N9+1Qoy+LsSb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UiuxAAAANoAAAAPAAAAAAAAAAAA&#10;AAAAAKECAABkcnMvZG93bnJldi54bWxQSwUGAAAAAAQABAD5AAAAkgM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mn8IAAADaAAAADwAAAGRycy9kb3ducmV2LnhtbESPQWvCQBSE7wX/w/KE3urGiiVEVxGh&#10;mJOgFqG3Z/aZBLNvQ/ZVY399VxB6HGbmG2a+7F2jrtSF2rOB8SgBRVx4W3Np4Ovw+ZaCCoJssfFM&#10;Bu4UYLkYvMwxs/7GO7rupVQRwiFDA5VIm2kdioochpFviaN39p1DibIrte3wFuGu0e9J8qEd1hwX&#10;KmxpXVFx2f84A98uPU4PfJTN5jTZ/qaS96siN+Z12K9moIR6+Q8/27k1MIHHlXgD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cmn8IAAADaAAAADwAAAAAAAAAAAAAA&#10;AAChAgAAZHJzL2Rvd25yZXYueG1sUEsFBgAAAAAEAAQA+QAAAJADAAAAAA==&#10;" strokecolor="#438086" strokeweight=".25pt"/>
              <w10:anchorlock/>
            </v:group>
          </w:pict>
        </mc:Fallback>
      </mc:AlternateContent>
    </w:r>
  </w:p>
  <w:p w:rsidR="009F1770" w:rsidRDefault="009F1770">
    <w:pPr>
      <w:pStyle w:val="Nessunaspaziatura"/>
      <w:rPr>
        <w:sz w:val="2"/>
        <w:szCs w:val="2"/>
      </w:rPr>
    </w:pPr>
  </w:p>
  <w:p w:rsidR="009F1770" w:rsidRDefault="009F1770"/>
  <w:p w:rsidR="009F1770" w:rsidRDefault="009F1770"/>
  <w:p w:rsidR="009F1770" w:rsidRDefault="009F1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70" w:rsidRDefault="009F1770">
    <w:pPr>
      <w:jc w:val="center"/>
    </w:pPr>
    <w:r w:rsidRPr="00C37A82">
      <w:rPr>
        <w:color w:val="6076B4"/>
        <w:sz w:val="18"/>
        <w:szCs w:val="18"/>
      </w:rPr>
      <w:t>Osservazioni</w:t>
    </w:r>
    <w:r w:rsidRPr="00C37A82">
      <w:rPr>
        <w:color w:val="6076B4"/>
        <w:sz w:val="18"/>
        <w:szCs w:val="18"/>
      </w:rPr>
      <w:sym w:font="Wingdings" w:char="F09F"/>
    </w:r>
    <w:r>
      <w:rPr>
        <w:color w:val="6076B4"/>
      </w:rPr>
      <w:t xml:space="preserve"> </w:t>
    </w:r>
    <w:r>
      <w:rPr>
        <w:color w:val="6076B4"/>
      </w:rPr>
      <w:fldChar w:fldCharType="begin"/>
    </w:r>
    <w:r>
      <w:rPr>
        <w:color w:val="6076B4"/>
      </w:rPr>
      <w:instrText>PAGE  \* Arabic  \* MERGEFORMAT</w:instrText>
    </w:r>
    <w:r>
      <w:rPr>
        <w:color w:val="6076B4"/>
      </w:rPr>
      <w:fldChar w:fldCharType="separate"/>
    </w:r>
    <w:r w:rsidR="00EF15FD">
      <w:rPr>
        <w:noProof/>
        <w:color w:val="6076B4"/>
      </w:rPr>
      <w:t>11</w:t>
    </w:r>
    <w:r>
      <w:rPr>
        <w:color w:val="6076B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7B" w:rsidRDefault="00DB3C7B">
      <w:pPr>
        <w:spacing w:after="0" w:line="240" w:lineRule="auto"/>
      </w:pPr>
      <w:r>
        <w:separator/>
      </w:r>
    </w:p>
  </w:footnote>
  <w:footnote w:type="continuationSeparator" w:id="0">
    <w:p w:rsidR="00DB3C7B" w:rsidRDefault="00DB3C7B">
      <w:pPr>
        <w:spacing w:after="0" w:line="240" w:lineRule="auto"/>
      </w:pPr>
      <w:r>
        <w:continuationSeparator/>
      </w:r>
    </w:p>
  </w:footnote>
  <w:footnote w:id="1">
    <w:p w:rsidR="009F1770" w:rsidRDefault="009F1770" w:rsidP="00983C71">
      <w:pPr>
        <w:pStyle w:val="Testonotaapidipagina"/>
        <w:jc w:val="both"/>
      </w:pPr>
      <w:r>
        <w:rPr>
          <w:rStyle w:val="Rimandonotaapidipagina"/>
        </w:rPr>
        <w:footnoteRef/>
      </w:r>
      <w:r w:rsidRPr="00983C71">
        <w:rPr>
          <w:lang w:val="en-US"/>
        </w:rPr>
        <w:t xml:space="preserve"> </w:t>
      </w:r>
      <w:proofErr w:type="gramStart"/>
      <w:r w:rsidRPr="00983C71">
        <w:rPr>
          <w:sz w:val="18"/>
          <w:szCs w:val="18"/>
          <w:lang w:val="en-US"/>
        </w:rPr>
        <w:t>The role of solar thermal in future energy systems.</w:t>
      </w:r>
      <w:proofErr w:type="gramEnd"/>
      <w:r w:rsidRPr="00983C71">
        <w:rPr>
          <w:sz w:val="18"/>
          <w:szCs w:val="18"/>
          <w:lang w:val="en-US"/>
        </w:rPr>
        <w:t xml:space="preserve"> Country cases for Germany, Austria, Italy and Denmark. </w:t>
      </w:r>
      <w:r w:rsidRPr="00983C71">
        <w:rPr>
          <w:sz w:val="18"/>
          <w:szCs w:val="18"/>
        </w:rPr>
        <w:t xml:space="preserve">IEA SHC task </w:t>
      </w:r>
      <w:proofErr w:type="gramStart"/>
      <w:r w:rsidRPr="00983C71">
        <w:rPr>
          <w:sz w:val="18"/>
          <w:szCs w:val="18"/>
        </w:rPr>
        <w:t>52</w:t>
      </w:r>
      <w:proofErr w:type="gramEnd"/>
      <w:r w:rsidRPr="00983C71">
        <w:rPr>
          <w:sz w:val="18"/>
          <w:szCs w:val="18"/>
        </w:rPr>
        <w:t xml:space="preserve"> </w:t>
      </w:r>
      <w:proofErr w:type="spellStart"/>
      <w:r w:rsidRPr="00983C71">
        <w:rPr>
          <w:sz w:val="18"/>
          <w:szCs w:val="18"/>
        </w:rPr>
        <w:t>Programme</w:t>
      </w:r>
      <w:proofErr w:type="spellEnd"/>
      <w:r w:rsidRPr="00983C71">
        <w:rPr>
          <w:sz w:val="18"/>
          <w:szCs w:val="18"/>
        </w:rPr>
        <w:t xml:space="preserve">, </w:t>
      </w:r>
      <w:proofErr w:type="spellStart"/>
      <w:r w:rsidRPr="00983C71">
        <w:rPr>
          <w:sz w:val="18"/>
          <w:szCs w:val="18"/>
        </w:rPr>
        <w:t>September</w:t>
      </w:r>
      <w:proofErr w:type="spellEnd"/>
      <w:r w:rsidRPr="00983C71">
        <w:rPr>
          <w:sz w:val="18"/>
          <w:szCs w:val="18"/>
        </w:rPr>
        <w:t xml:space="preserve"> 2017. Si noti che IEA è </w:t>
      </w:r>
      <w:proofErr w:type="gramStart"/>
      <w:r w:rsidRPr="00983C71">
        <w:rPr>
          <w:sz w:val="18"/>
          <w:szCs w:val="18"/>
        </w:rPr>
        <w:t xml:space="preserve">una </w:t>
      </w:r>
      <w:proofErr w:type="gramEnd"/>
      <w:r w:rsidRPr="00983C71">
        <w:rPr>
          <w:sz w:val="18"/>
          <w:szCs w:val="18"/>
        </w:rPr>
        <w:t xml:space="preserve">agenzia criticata da </w:t>
      </w:r>
      <w:r>
        <w:rPr>
          <w:sz w:val="18"/>
          <w:szCs w:val="18"/>
        </w:rPr>
        <w:t xml:space="preserve">numerosi </w:t>
      </w:r>
      <w:r w:rsidRPr="00983C71">
        <w:rPr>
          <w:sz w:val="18"/>
          <w:szCs w:val="18"/>
        </w:rPr>
        <w:t xml:space="preserve">scienziati e ricercatori </w:t>
      </w:r>
      <w:r>
        <w:rPr>
          <w:sz w:val="18"/>
          <w:szCs w:val="18"/>
        </w:rPr>
        <w:t xml:space="preserve">per le sue previsioni di penetrazione delle rinnovabili estremamente conservative. </w:t>
      </w:r>
    </w:p>
  </w:footnote>
  <w:footnote w:id="2">
    <w:p w:rsidR="009F1770" w:rsidRDefault="009F1770" w:rsidP="00603636">
      <w:pPr>
        <w:pStyle w:val="Testonotaapidipagina"/>
        <w:jc w:val="both"/>
      </w:pPr>
      <w:r w:rsidRPr="001764BF">
        <w:rPr>
          <w:rStyle w:val="Rimandonotaapidipagina"/>
          <w:sz w:val="18"/>
          <w:szCs w:val="18"/>
        </w:rPr>
        <w:footnoteRef/>
      </w:r>
      <w:r w:rsidRPr="001764BF">
        <w:rPr>
          <w:sz w:val="18"/>
          <w:szCs w:val="18"/>
        </w:rPr>
        <w:t xml:space="preserve"> </w:t>
      </w:r>
      <w:r>
        <w:rPr>
          <w:sz w:val="18"/>
          <w:szCs w:val="18"/>
        </w:rPr>
        <w:t xml:space="preserve">Da rivista </w:t>
      </w:r>
      <w:proofErr w:type="spellStart"/>
      <w:r>
        <w:rPr>
          <w:sz w:val="18"/>
          <w:szCs w:val="18"/>
        </w:rPr>
        <w:t>Ingenio</w:t>
      </w:r>
      <w:proofErr w:type="spellEnd"/>
      <w:r>
        <w:rPr>
          <w:sz w:val="18"/>
          <w:szCs w:val="18"/>
        </w:rPr>
        <w:t xml:space="preserve">, n. 30 del 2015. Prof. V. Corrado. </w:t>
      </w:r>
      <w:r w:rsidRPr="00603636">
        <w:rPr>
          <w:i/>
          <w:sz w:val="18"/>
          <w:szCs w:val="18"/>
        </w:rPr>
        <w:t>La prestazione energetica degli edifici: concetti base e metodi di valutazione</w:t>
      </w:r>
      <w:r>
        <w:rPr>
          <w:sz w:val="18"/>
          <w:szCs w:val="18"/>
        </w:rPr>
        <w:t>. “</w:t>
      </w:r>
      <w:r w:rsidRPr="001764BF">
        <w:rPr>
          <w:sz w:val="18"/>
          <w:szCs w:val="18"/>
        </w:rPr>
        <w:t>Considerando</w:t>
      </w:r>
      <w:r>
        <w:rPr>
          <w:sz w:val="18"/>
          <w:szCs w:val="18"/>
        </w:rPr>
        <w:t xml:space="preserve"> inoltre gli ampi margini di libertà che le norme tecniche europee lasciano ai singoli paesi, o addirittura alle singole regioni, vi è la concreta possibilità che scelte politiche locali o condizionamenti “economici” possano portare a deviazioni nei risultati, tali da </w:t>
      </w:r>
      <w:proofErr w:type="gramStart"/>
      <w:r>
        <w:rPr>
          <w:sz w:val="18"/>
          <w:szCs w:val="18"/>
        </w:rPr>
        <w:t>risultare</w:t>
      </w:r>
      <w:proofErr w:type="gramEnd"/>
      <w:r>
        <w:rPr>
          <w:sz w:val="18"/>
          <w:szCs w:val="18"/>
        </w:rPr>
        <w:t xml:space="preserve"> difficilmente comprensibili per gli utenti finali e addirittura pregiudicare l’efficacia delle politiche energetiche nazionali ed europee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70" w:rsidRPr="00C37A82" w:rsidRDefault="009F1770" w:rsidP="00CE2625">
    <w:pPr>
      <w:spacing w:after="0"/>
      <w:jc w:val="center"/>
      <w:rPr>
        <w:color w:val="E4E9EF"/>
        <w:sz w:val="18"/>
        <w:szCs w:val="18"/>
      </w:rPr>
    </w:pPr>
    <w:r>
      <w:rPr>
        <w:color w:val="6076B4"/>
        <w:sz w:val="18"/>
        <w:szCs w:val="18"/>
      </w:rPr>
      <w:t>OSSERVAZIONI DEL GRUPPO DI RICERCA DEL TAVOLO BASTA VELENI allo studio di Gian Paolo Beretta</w:t>
    </w:r>
    <w:proofErr w:type="gramStart"/>
    <w:r>
      <w:rPr>
        <w:color w:val="6076B4"/>
        <w:sz w:val="18"/>
        <w:szCs w:val="18"/>
      </w:rPr>
      <w:t xml:space="preserve">  </w:t>
    </w:r>
    <w:proofErr w:type="gramEnd"/>
    <w:r>
      <w:rPr>
        <w:color w:val="6076B4"/>
        <w:sz w:val="18"/>
        <w:szCs w:val="18"/>
      </w:rPr>
      <w:t>e Stefano Consonni, “Ruolo del termoutilizzatore di Brescia nel contesto energetico-ambientale del Comune di Brescia”, 8 gennaio 2018</w:t>
    </w:r>
  </w:p>
  <w:p w:rsidR="009F1770" w:rsidRDefault="009F1770">
    <w:pPr>
      <w:jc w:val="center"/>
      <w:rPr>
        <w:color w:val="6076B4"/>
      </w:rPr>
    </w:pPr>
    <w:r>
      <w:rPr>
        <w:color w:val="6076B4"/>
      </w:rPr>
      <w:sym w:font="Symbol" w:char="F0B7"/>
    </w:r>
    <w:r>
      <w:rPr>
        <w:color w:val="6076B4"/>
      </w:rPr>
      <w:t xml:space="preserve"> </w:t>
    </w:r>
    <w:r>
      <w:rPr>
        <w:color w:val="6076B4"/>
      </w:rPr>
      <w:sym w:font="Symbol" w:char="F0B7"/>
    </w:r>
    <w:r>
      <w:rPr>
        <w:color w:val="6076B4"/>
      </w:rPr>
      <w:t xml:space="preserve"> </w:t>
    </w:r>
    <w:r>
      <w:rPr>
        <w:color w:val="6076B4"/>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7239"/>
    <w:multiLevelType w:val="hybridMultilevel"/>
    <w:tmpl w:val="E04EB9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28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D7"/>
    <w:rsid w:val="0001676E"/>
    <w:rsid w:val="000305D0"/>
    <w:rsid w:val="00044608"/>
    <w:rsid w:val="0004584E"/>
    <w:rsid w:val="0006451E"/>
    <w:rsid w:val="00073666"/>
    <w:rsid w:val="00082246"/>
    <w:rsid w:val="00085A7C"/>
    <w:rsid w:val="000A4B04"/>
    <w:rsid w:val="000B4FF3"/>
    <w:rsid w:val="000D09B3"/>
    <w:rsid w:val="000E434C"/>
    <w:rsid w:val="000F2ED3"/>
    <w:rsid w:val="0015798B"/>
    <w:rsid w:val="001764BF"/>
    <w:rsid w:val="001D2CAC"/>
    <w:rsid w:val="001F667B"/>
    <w:rsid w:val="00232C56"/>
    <w:rsid w:val="0025162B"/>
    <w:rsid w:val="00252D30"/>
    <w:rsid w:val="00266689"/>
    <w:rsid w:val="00291F4F"/>
    <w:rsid w:val="002D25A1"/>
    <w:rsid w:val="002D2BDE"/>
    <w:rsid w:val="002D7B23"/>
    <w:rsid w:val="002E0B2E"/>
    <w:rsid w:val="00313847"/>
    <w:rsid w:val="0037550F"/>
    <w:rsid w:val="003C3FD9"/>
    <w:rsid w:val="003D06E6"/>
    <w:rsid w:val="003D3484"/>
    <w:rsid w:val="00415396"/>
    <w:rsid w:val="00421B46"/>
    <w:rsid w:val="004415E2"/>
    <w:rsid w:val="00443300"/>
    <w:rsid w:val="00455792"/>
    <w:rsid w:val="004810F0"/>
    <w:rsid w:val="00482F3B"/>
    <w:rsid w:val="004C1717"/>
    <w:rsid w:val="004C5B54"/>
    <w:rsid w:val="004C6AD6"/>
    <w:rsid w:val="004F2A71"/>
    <w:rsid w:val="005254A0"/>
    <w:rsid w:val="0053396F"/>
    <w:rsid w:val="00573BBE"/>
    <w:rsid w:val="005743D7"/>
    <w:rsid w:val="005902C1"/>
    <w:rsid w:val="00595AD7"/>
    <w:rsid w:val="005A1737"/>
    <w:rsid w:val="005B4E90"/>
    <w:rsid w:val="005D1427"/>
    <w:rsid w:val="005D46FA"/>
    <w:rsid w:val="005E0135"/>
    <w:rsid w:val="005E073F"/>
    <w:rsid w:val="005E0F8D"/>
    <w:rsid w:val="00603636"/>
    <w:rsid w:val="00603FD0"/>
    <w:rsid w:val="00624A57"/>
    <w:rsid w:val="006B495A"/>
    <w:rsid w:val="006B4F35"/>
    <w:rsid w:val="006E7242"/>
    <w:rsid w:val="0070150F"/>
    <w:rsid w:val="0071006B"/>
    <w:rsid w:val="007435B2"/>
    <w:rsid w:val="007675D6"/>
    <w:rsid w:val="007A4FCF"/>
    <w:rsid w:val="007B4A57"/>
    <w:rsid w:val="007E2C2A"/>
    <w:rsid w:val="007F04B5"/>
    <w:rsid w:val="007F5897"/>
    <w:rsid w:val="00801A05"/>
    <w:rsid w:val="008234CF"/>
    <w:rsid w:val="00834A70"/>
    <w:rsid w:val="00874EC1"/>
    <w:rsid w:val="00880439"/>
    <w:rsid w:val="00896480"/>
    <w:rsid w:val="008A151A"/>
    <w:rsid w:val="008B4221"/>
    <w:rsid w:val="008C58D6"/>
    <w:rsid w:val="009063B2"/>
    <w:rsid w:val="0092555D"/>
    <w:rsid w:val="00940AE4"/>
    <w:rsid w:val="00983C71"/>
    <w:rsid w:val="00995B9B"/>
    <w:rsid w:val="009C1C26"/>
    <w:rsid w:val="009F1770"/>
    <w:rsid w:val="00A20AC9"/>
    <w:rsid w:val="00A40213"/>
    <w:rsid w:val="00A42229"/>
    <w:rsid w:val="00A461D5"/>
    <w:rsid w:val="00AC2755"/>
    <w:rsid w:val="00AE1050"/>
    <w:rsid w:val="00AF0C2E"/>
    <w:rsid w:val="00AF1D05"/>
    <w:rsid w:val="00AF3EF0"/>
    <w:rsid w:val="00B17F11"/>
    <w:rsid w:val="00B51791"/>
    <w:rsid w:val="00B523D2"/>
    <w:rsid w:val="00B917B3"/>
    <w:rsid w:val="00BB3BD4"/>
    <w:rsid w:val="00BB3EC1"/>
    <w:rsid w:val="00BC78CD"/>
    <w:rsid w:val="00C370CF"/>
    <w:rsid w:val="00C37A82"/>
    <w:rsid w:val="00C56C71"/>
    <w:rsid w:val="00C57728"/>
    <w:rsid w:val="00C8639D"/>
    <w:rsid w:val="00CA03A6"/>
    <w:rsid w:val="00CB2304"/>
    <w:rsid w:val="00CC2E17"/>
    <w:rsid w:val="00CE2625"/>
    <w:rsid w:val="00CF44B3"/>
    <w:rsid w:val="00D358B6"/>
    <w:rsid w:val="00D77D97"/>
    <w:rsid w:val="00D90DF8"/>
    <w:rsid w:val="00DA72F2"/>
    <w:rsid w:val="00DB1DF4"/>
    <w:rsid w:val="00DB3C7B"/>
    <w:rsid w:val="00DB4331"/>
    <w:rsid w:val="00DF61D9"/>
    <w:rsid w:val="00E03800"/>
    <w:rsid w:val="00E04A4F"/>
    <w:rsid w:val="00E2163F"/>
    <w:rsid w:val="00E30951"/>
    <w:rsid w:val="00E33E98"/>
    <w:rsid w:val="00E6519B"/>
    <w:rsid w:val="00E7508E"/>
    <w:rsid w:val="00E86582"/>
    <w:rsid w:val="00EB4159"/>
    <w:rsid w:val="00ED19E8"/>
    <w:rsid w:val="00EF0195"/>
    <w:rsid w:val="00EF15FD"/>
    <w:rsid w:val="00EF59C1"/>
    <w:rsid w:val="00F14AEA"/>
    <w:rsid w:val="00F2111F"/>
    <w:rsid w:val="00F67577"/>
    <w:rsid w:val="00FA6029"/>
    <w:rsid w:val="00FD35FF"/>
    <w:rsid w:val="00FD51EE"/>
    <w:rsid w:val="00FE4915"/>
    <w:rsid w:val="00FF6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A40213"/>
    <w:pPr>
      <w:spacing w:after="200" w:line="276" w:lineRule="auto"/>
    </w:pPr>
  </w:style>
  <w:style w:type="paragraph" w:styleId="Titolo1">
    <w:name w:val="heading 1"/>
    <w:basedOn w:val="Normale"/>
    <w:next w:val="Normale"/>
    <w:link w:val="Titolo1Carattere"/>
    <w:uiPriority w:val="99"/>
    <w:qFormat/>
    <w:rsid w:val="00A40213"/>
    <w:pPr>
      <w:keepNext/>
      <w:keepLines/>
      <w:spacing w:before="360" w:after="0" w:line="240" w:lineRule="auto"/>
      <w:outlineLvl w:val="0"/>
    </w:pPr>
    <w:rPr>
      <w:rFonts w:ascii="Century Gothic" w:hAnsi="Century Gothic"/>
      <w:bCs/>
      <w:i/>
      <w:color w:val="6076B4"/>
      <w:sz w:val="32"/>
      <w:szCs w:val="32"/>
    </w:rPr>
  </w:style>
  <w:style w:type="paragraph" w:styleId="Titolo2">
    <w:name w:val="heading 2"/>
    <w:basedOn w:val="Normale"/>
    <w:next w:val="Normale"/>
    <w:link w:val="Titolo2Carattere"/>
    <w:uiPriority w:val="99"/>
    <w:qFormat/>
    <w:rsid w:val="00A40213"/>
    <w:pPr>
      <w:keepNext/>
      <w:keepLines/>
      <w:spacing w:before="120" w:after="0" w:line="240" w:lineRule="auto"/>
      <w:outlineLvl w:val="1"/>
    </w:pPr>
    <w:rPr>
      <w:rFonts w:ascii="Century Gothic" w:hAnsi="Century Gothic"/>
      <w:bCs/>
      <w:color w:val="2F5897"/>
      <w:sz w:val="28"/>
      <w:szCs w:val="28"/>
    </w:rPr>
  </w:style>
  <w:style w:type="paragraph" w:styleId="Titolo3">
    <w:name w:val="heading 3"/>
    <w:basedOn w:val="Normale"/>
    <w:next w:val="Normale"/>
    <w:link w:val="Titolo3Carattere"/>
    <w:uiPriority w:val="99"/>
    <w:qFormat/>
    <w:rsid w:val="00A40213"/>
    <w:pPr>
      <w:keepNext/>
      <w:keepLines/>
      <w:spacing w:before="20" w:after="0" w:line="240" w:lineRule="auto"/>
      <w:outlineLvl w:val="2"/>
    </w:pPr>
    <w:rPr>
      <w:rFonts w:ascii="Century Gothic" w:hAnsi="Century Gothic"/>
      <w:bCs/>
      <w:i/>
      <w:color w:val="2F5897"/>
      <w:sz w:val="23"/>
    </w:rPr>
  </w:style>
  <w:style w:type="paragraph" w:styleId="Titolo4">
    <w:name w:val="heading 4"/>
    <w:basedOn w:val="Normale"/>
    <w:next w:val="Normale"/>
    <w:link w:val="Titolo4Carattere"/>
    <w:uiPriority w:val="99"/>
    <w:qFormat/>
    <w:rsid w:val="00A40213"/>
    <w:pPr>
      <w:keepNext/>
      <w:keepLines/>
      <w:spacing w:before="200" w:after="0" w:line="264" w:lineRule="auto"/>
      <w:outlineLvl w:val="3"/>
    </w:pPr>
    <w:rPr>
      <w:rFonts w:ascii="Century Gothic" w:hAnsi="Century Gothic"/>
      <w:bCs/>
      <w:i/>
      <w:iCs/>
      <w:color w:val="2F5897"/>
      <w:sz w:val="23"/>
    </w:rPr>
  </w:style>
  <w:style w:type="paragraph" w:styleId="Titolo5">
    <w:name w:val="heading 5"/>
    <w:basedOn w:val="Normale"/>
    <w:next w:val="Normale"/>
    <w:link w:val="Titolo5Carattere"/>
    <w:uiPriority w:val="99"/>
    <w:qFormat/>
    <w:rsid w:val="00A40213"/>
    <w:pPr>
      <w:keepNext/>
      <w:keepLines/>
      <w:spacing w:before="200" w:after="0" w:line="264" w:lineRule="auto"/>
      <w:outlineLvl w:val="4"/>
    </w:pPr>
    <w:rPr>
      <w:rFonts w:ascii="Century Gothic" w:hAnsi="Century Gothic"/>
      <w:color w:val="000000"/>
    </w:rPr>
  </w:style>
  <w:style w:type="paragraph" w:styleId="Titolo6">
    <w:name w:val="heading 6"/>
    <w:basedOn w:val="Normale"/>
    <w:next w:val="Normale"/>
    <w:link w:val="Titolo6Carattere"/>
    <w:uiPriority w:val="99"/>
    <w:qFormat/>
    <w:rsid w:val="00A40213"/>
    <w:pPr>
      <w:keepNext/>
      <w:keepLines/>
      <w:spacing w:before="200" w:after="0" w:line="264" w:lineRule="auto"/>
      <w:outlineLvl w:val="5"/>
    </w:pPr>
    <w:rPr>
      <w:rFonts w:ascii="Century Gothic" w:hAnsi="Century Gothic"/>
      <w:i/>
      <w:iCs/>
      <w:color w:val="000000"/>
      <w:sz w:val="21"/>
    </w:rPr>
  </w:style>
  <w:style w:type="paragraph" w:styleId="Titolo7">
    <w:name w:val="heading 7"/>
    <w:basedOn w:val="Normale"/>
    <w:next w:val="Normale"/>
    <w:link w:val="Titolo7Carattere"/>
    <w:uiPriority w:val="99"/>
    <w:qFormat/>
    <w:rsid w:val="00A40213"/>
    <w:pPr>
      <w:keepNext/>
      <w:keepLines/>
      <w:spacing w:before="200" w:after="0" w:line="264" w:lineRule="auto"/>
      <w:outlineLvl w:val="6"/>
    </w:pPr>
    <w:rPr>
      <w:rFonts w:ascii="Century Gothic" w:hAnsi="Century Gothic"/>
      <w:i/>
      <w:iCs/>
      <w:color w:val="000000"/>
      <w:sz w:val="21"/>
    </w:rPr>
  </w:style>
  <w:style w:type="paragraph" w:styleId="Titolo8">
    <w:name w:val="heading 8"/>
    <w:basedOn w:val="Normale"/>
    <w:next w:val="Normale"/>
    <w:link w:val="Titolo8Carattere"/>
    <w:uiPriority w:val="99"/>
    <w:qFormat/>
    <w:rsid w:val="00A40213"/>
    <w:pPr>
      <w:keepNext/>
      <w:keepLines/>
      <w:spacing w:before="200" w:after="0" w:line="264" w:lineRule="auto"/>
      <w:outlineLvl w:val="7"/>
    </w:pPr>
    <w:rPr>
      <w:rFonts w:ascii="Century Gothic" w:hAnsi="Century Gothic"/>
      <w:color w:val="000000"/>
      <w:sz w:val="20"/>
      <w:szCs w:val="20"/>
    </w:rPr>
  </w:style>
  <w:style w:type="paragraph" w:styleId="Titolo9">
    <w:name w:val="heading 9"/>
    <w:basedOn w:val="Normale"/>
    <w:next w:val="Normale"/>
    <w:link w:val="Titolo9Carattere"/>
    <w:uiPriority w:val="99"/>
    <w:qFormat/>
    <w:rsid w:val="00A40213"/>
    <w:pPr>
      <w:keepNext/>
      <w:keepLines/>
      <w:spacing w:before="200" w:after="0" w:line="264" w:lineRule="auto"/>
      <w:outlineLvl w:val="8"/>
    </w:pPr>
    <w:rPr>
      <w:rFonts w:ascii="Century Gothic" w:hAnsi="Century Gothic"/>
      <w:i/>
      <w:i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40213"/>
    <w:rPr>
      <w:rFonts w:ascii="Century Gothic" w:hAnsi="Century Gothic" w:cs="Times New Roman"/>
      <w:bCs/>
      <w:i/>
      <w:color w:val="auto"/>
      <w:sz w:val="32"/>
      <w:szCs w:val="32"/>
    </w:rPr>
  </w:style>
  <w:style w:type="character" w:customStyle="1" w:styleId="Titolo2Carattere">
    <w:name w:val="Titolo 2 Carattere"/>
    <w:basedOn w:val="Carpredefinitoparagrafo"/>
    <w:link w:val="Titolo2"/>
    <w:uiPriority w:val="99"/>
    <w:locked/>
    <w:rsid w:val="00A40213"/>
    <w:rPr>
      <w:rFonts w:ascii="Century Gothic" w:hAnsi="Century Gothic" w:cs="Times New Roman"/>
      <w:bCs/>
      <w:color w:val="auto"/>
      <w:sz w:val="28"/>
      <w:szCs w:val="28"/>
    </w:rPr>
  </w:style>
  <w:style w:type="character" w:customStyle="1" w:styleId="Titolo3Carattere">
    <w:name w:val="Titolo 3 Carattere"/>
    <w:basedOn w:val="Carpredefinitoparagrafo"/>
    <w:link w:val="Titolo3"/>
    <w:uiPriority w:val="99"/>
    <w:locked/>
    <w:rsid w:val="00A40213"/>
    <w:rPr>
      <w:rFonts w:ascii="Century Gothic" w:hAnsi="Century Gothic" w:cs="Times New Roman"/>
      <w:bCs/>
      <w:i/>
      <w:color w:val="auto"/>
      <w:sz w:val="23"/>
    </w:rPr>
  </w:style>
  <w:style w:type="character" w:customStyle="1" w:styleId="Titolo4Carattere">
    <w:name w:val="Titolo 4 Carattere"/>
    <w:basedOn w:val="Carpredefinitoparagrafo"/>
    <w:link w:val="Titolo4"/>
    <w:uiPriority w:val="99"/>
    <w:locked/>
    <w:rsid w:val="00A40213"/>
    <w:rPr>
      <w:rFonts w:ascii="Century Gothic" w:hAnsi="Century Gothic" w:cs="Times New Roman"/>
      <w:bCs/>
      <w:i/>
      <w:iCs/>
      <w:color w:val="auto"/>
      <w:sz w:val="23"/>
    </w:rPr>
  </w:style>
  <w:style w:type="character" w:customStyle="1" w:styleId="Titolo5Carattere">
    <w:name w:val="Titolo 5 Carattere"/>
    <w:basedOn w:val="Carpredefinitoparagrafo"/>
    <w:link w:val="Titolo5"/>
    <w:uiPriority w:val="99"/>
    <w:semiHidden/>
    <w:locked/>
    <w:rsid w:val="00A40213"/>
    <w:rPr>
      <w:rFonts w:ascii="Century Gothic" w:hAnsi="Century Gothic" w:cs="Times New Roman"/>
      <w:color w:val="000000"/>
    </w:rPr>
  </w:style>
  <w:style w:type="character" w:customStyle="1" w:styleId="Titolo6Carattere">
    <w:name w:val="Titolo 6 Carattere"/>
    <w:basedOn w:val="Carpredefinitoparagrafo"/>
    <w:link w:val="Titolo6"/>
    <w:uiPriority w:val="99"/>
    <w:semiHidden/>
    <w:locked/>
    <w:rsid w:val="00A40213"/>
    <w:rPr>
      <w:rFonts w:ascii="Century Gothic" w:hAnsi="Century Gothic" w:cs="Times New Roman"/>
      <w:i/>
      <w:iCs/>
      <w:color w:val="000000"/>
      <w:sz w:val="21"/>
    </w:rPr>
  </w:style>
  <w:style w:type="character" w:customStyle="1" w:styleId="Titolo7Carattere">
    <w:name w:val="Titolo 7 Carattere"/>
    <w:basedOn w:val="Carpredefinitoparagrafo"/>
    <w:link w:val="Titolo7"/>
    <w:uiPriority w:val="99"/>
    <w:semiHidden/>
    <w:locked/>
    <w:rsid w:val="00A40213"/>
    <w:rPr>
      <w:rFonts w:ascii="Century Gothic" w:hAnsi="Century Gothic" w:cs="Times New Roman"/>
      <w:i/>
      <w:iCs/>
      <w:color w:val="000000"/>
      <w:sz w:val="21"/>
    </w:rPr>
  </w:style>
  <w:style w:type="character" w:customStyle="1" w:styleId="Titolo8Carattere">
    <w:name w:val="Titolo 8 Carattere"/>
    <w:basedOn w:val="Carpredefinitoparagrafo"/>
    <w:link w:val="Titolo8"/>
    <w:uiPriority w:val="99"/>
    <w:semiHidden/>
    <w:locked/>
    <w:rsid w:val="00A40213"/>
    <w:rPr>
      <w:rFonts w:ascii="Century Gothic" w:hAnsi="Century Gothic" w:cs="Times New Roman"/>
      <w:color w:val="000000"/>
      <w:sz w:val="20"/>
      <w:szCs w:val="20"/>
    </w:rPr>
  </w:style>
  <w:style w:type="character" w:customStyle="1" w:styleId="Titolo9Carattere">
    <w:name w:val="Titolo 9 Carattere"/>
    <w:basedOn w:val="Carpredefinitoparagrafo"/>
    <w:link w:val="Titolo9"/>
    <w:uiPriority w:val="99"/>
    <w:semiHidden/>
    <w:locked/>
    <w:rsid w:val="00A40213"/>
    <w:rPr>
      <w:rFonts w:ascii="Century Gothic" w:hAnsi="Century Gothic" w:cs="Times New Roman"/>
      <w:i/>
      <w:iCs/>
      <w:color w:val="000000"/>
      <w:sz w:val="20"/>
      <w:szCs w:val="20"/>
    </w:rPr>
  </w:style>
  <w:style w:type="paragraph" w:styleId="Titolo">
    <w:name w:val="Title"/>
    <w:basedOn w:val="Normale"/>
    <w:next w:val="Normale"/>
    <w:link w:val="TitoloCarattere"/>
    <w:uiPriority w:val="99"/>
    <w:qFormat/>
    <w:rsid w:val="00A40213"/>
    <w:pPr>
      <w:spacing w:after="300" w:line="240" w:lineRule="auto"/>
      <w:contextualSpacing/>
    </w:pPr>
    <w:rPr>
      <w:rFonts w:ascii="Century Gothic" w:hAnsi="Century Gothic"/>
      <w:color w:val="2F5897"/>
      <w:spacing w:val="5"/>
      <w:kern w:val="28"/>
      <w:sz w:val="60"/>
      <w:szCs w:val="60"/>
    </w:rPr>
  </w:style>
  <w:style w:type="character" w:customStyle="1" w:styleId="TitoloCarattere">
    <w:name w:val="Titolo Carattere"/>
    <w:basedOn w:val="Carpredefinitoparagrafo"/>
    <w:link w:val="Titolo"/>
    <w:uiPriority w:val="99"/>
    <w:locked/>
    <w:rsid w:val="00A40213"/>
    <w:rPr>
      <w:rFonts w:ascii="Century Gothic" w:hAnsi="Century Gothic" w:cs="Times New Roman"/>
      <w:color w:val="auto"/>
      <w:spacing w:val="5"/>
      <w:kern w:val="28"/>
      <w:sz w:val="60"/>
      <w:szCs w:val="60"/>
    </w:rPr>
  </w:style>
  <w:style w:type="paragraph" w:styleId="Sottotitolo">
    <w:name w:val="Subtitle"/>
    <w:basedOn w:val="Normale"/>
    <w:next w:val="Normale"/>
    <w:link w:val="SottotitoloCarattere"/>
    <w:uiPriority w:val="99"/>
    <w:qFormat/>
    <w:rsid w:val="00A40213"/>
    <w:pPr>
      <w:numPr>
        <w:ilvl w:val="1"/>
      </w:numPr>
    </w:pPr>
    <w:rPr>
      <w:iCs/>
      <w:color w:val="000000"/>
      <w:spacing w:val="15"/>
      <w:sz w:val="24"/>
      <w:szCs w:val="24"/>
    </w:rPr>
  </w:style>
  <w:style w:type="character" w:customStyle="1" w:styleId="SottotitoloCarattere">
    <w:name w:val="Sottotitolo Carattere"/>
    <w:basedOn w:val="Carpredefinitoparagrafo"/>
    <w:link w:val="Sottotitolo"/>
    <w:uiPriority w:val="99"/>
    <w:locked/>
    <w:rsid w:val="00A40213"/>
    <w:rPr>
      <w:rFonts w:eastAsia="Times New Roman" w:cs="Times New Roman"/>
      <w:iCs/>
      <w:color w:val="auto"/>
      <w:spacing w:val="15"/>
      <w:sz w:val="24"/>
      <w:szCs w:val="24"/>
    </w:rPr>
  </w:style>
  <w:style w:type="paragraph" w:styleId="Intestazione">
    <w:name w:val="header"/>
    <w:basedOn w:val="Normale"/>
    <w:link w:val="IntestazioneCarattere"/>
    <w:uiPriority w:val="99"/>
    <w:rsid w:val="00A40213"/>
    <w:pPr>
      <w:tabs>
        <w:tab w:val="center" w:pos="4320"/>
        <w:tab w:val="right" w:pos="8640"/>
      </w:tabs>
    </w:pPr>
  </w:style>
  <w:style w:type="character" w:customStyle="1" w:styleId="IntestazioneCarattere">
    <w:name w:val="Intestazione Carattere"/>
    <w:basedOn w:val="Carpredefinitoparagrafo"/>
    <w:link w:val="Intestazione"/>
    <w:uiPriority w:val="99"/>
    <w:locked/>
    <w:rsid w:val="00A40213"/>
    <w:rPr>
      <w:rFonts w:eastAsia="Times New Roman" w:cs="Times New Roman"/>
    </w:rPr>
  </w:style>
  <w:style w:type="paragraph" w:styleId="Nessunaspaziatura">
    <w:name w:val="No Spacing"/>
    <w:link w:val="NessunaspaziaturaCarattere"/>
    <w:uiPriority w:val="99"/>
    <w:qFormat/>
    <w:rsid w:val="00A40213"/>
  </w:style>
  <w:style w:type="character" w:customStyle="1" w:styleId="NessunaspaziaturaCarattere">
    <w:name w:val="Nessuna spaziatura Carattere"/>
    <w:basedOn w:val="Carpredefinitoparagrafo"/>
    <w:link w:val="Nessunaspaziatura"/>
    <w:uiPriority w:val="99"/>
    <w:locked/>
    <w:rsid w:val="00A40213"/>
    <w:rPr>
      <w:rFonts w:cs="Times New Roman"/>
      <w:sz w:val="22"/>
      <w:szCs w:val="22"/>
      <w:lang w:val="it-IT" w:eastAsia="it-IT" w:bidi="ar-SA"/>
    </w:rPr>
  </w:style>
  <w:style w:type="paragraph" w:styleId="Testofumetto">
    <w:name w:val="Balloon Text"/>
    <w:basedOn w:val="Normale"/>
    <w:link w:val="TestofumettoCarattere"/>
    <w:uiPriority w:val="99"/>
    <w:semiHidden/>
    <w:rsid w:val="00A402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0213"/>
    <w:rPr>
      <w:rFonts w:ascii="Tahoma" w:hAnsi="Tahoma" w:cs="Tahoma"/>
      <w:sz w:val="16"/>
      <w:szCs w:val="16"/>
    </w:rPr>
  </w:style>
  <w:style w:type="paragraph" w:styleId="Didascalia">
    <w:name w:val="caption"/>
    <w:basedOn w:val="Normale"/>
    <w:next w:val="Normale"/>
    <w:uiPriority w:val="99"/>
    <w:qFormat/>
    <w:rsid w:val="00A40213"/>
    <w:pPr>
      <w:spacing w:line="240" w:lineRule="auto"/>
    </w:pPr>
    <w:rPr>
      <w:b/>
      <w:bCs/>
      <w:color w:val="2F5897"/>
      <w:sz w:val="18"/>
      <w:szCs w:val="18"/>
    </w:rPr>
  </w:style>
  <w:style w:type="character" w:styleId="Enfasigrassetto">
    <w:name w:val="Strong"/>
    <w:basedOn w:val="Carpredefinitoparagrafo"/>
    <w:uiPriority w:val="99"/>
    <w:qFormat/>
    <w:rsid w:val="00A40213"/>
    <w:rPr>
      <w:rFonts w:cs="Times New Roman"/>
      <w:b/>
      <w:bCs/>
    </w:rPr>
  </w:style>
  <w:style w:type="character" w:styleId="Enfasicorsivo">
    <w:name w:val="Emphasis"/>
    <w:basedOn w:val="Carpredefinitoparagrafo"/>
    <w:uiPriority w:val="99"/>
    <w:qFormat/>
    <w:rsid w:val="00A40213"/>
    <w:rPr>
      <w:rFonts w:cs="Times New Roman"/>
      <w:i/>
      <w:iCs/>
      <w:color w:val="auto"/>
    </w:rPr>
  </w:style>
  <w:style w:type="paragraph" w:styleId="Paragrafoelenco">
    <w:name w:val="List Paragraph"/>
    <w:basedOn w:val="Normale"/>
    <w:uiPriority w:val="99"/>
    <w:qFormat/>
    <w:rsid w:val="00A40213"/>
    <w:pPr>
      <w:spacing w:after="160" w:line="240" w:lineRule="auto"/>
      <w:ind w:left="1008" w:hanging="288"/>
      <w:contextualSpacing/>
    </w:pPr>
    <w:rPr>
      <w:sz w:val="21"/>
    </w:rPr>
  </w:style>
  <w:style w:type="paragraph" w:styleId="Citazione">
    <w:name w:val="Quote"/>
    <w:basedOn w:val="Normale"/>
    <w:next w:val="Normale"/>
    <w:link w:val="CitazioneCarattere"/>
    <w:uiPriority w:val="99"/>
    <w:qFormat/>
    <w:rsid w:val="00A40213"/>
    <w:pPr>
      <w:spacing w:before="160" w:after="160" w:line="300" w:lineRule="auto"/>
      <w:ind w:left="144" w:right="144"/>
      <w:jc w:val="center"/>
    </w:pPr>
    <w:rPr>
      <w:rFonts w:ascii="Century Gothic" w:hAnsi="Century Gothic"/>
      <w:i/>
      <w:iCs/>
      <w:color w:val="6076B4"/>
      <w:sz w:val="24"/>
    </w:rPr>
  </w:style>
  <w:style w:type="character" w:customStyle="1" w:styleId="CitazioneCarattere">
    <w:name w:val="Citazione Carattere"/>
    <w:basedOn w:val="Carpredefinitoparagrafo"/>
    <w:link w:val="Citazione"/>
    <w:uiPriority w:val="99"/>
    <w:locked/>
    <w:rsid w:val="00A40213"/>
    <w:rPr>
      <w:rFonts w:ascii="Century Gothic" w:hAnsi="Century Gothic" w:cs="Times New Roman"/>
      <w:i/>
      <w:iCs/>
      <w:color w:val="auto"/>
      <w:sz w:val="24"/>
    </w:rPr>
  </w:style>
  <w:style w:type="paragraph" w:styleId="Citazioneintensa">
    <w:name w:val="Intense Quote"/>
    <w:basedOn w:val="Normale"/>
    <w:next w:val="Normale"/>
    <w:link w:val="CitazioneintensaCarattere"/>
    <w:uiPriority w:val="99"/>
    <w:qFormat/>
    <w:rsid w:val="00A40213"/>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hAnsi="Century Gothic"/>
      <w:bCs/>
      <w:i/>
      <w:iCs/>
      <w:color w:val="000000"/>
      <w:sz w:val="24"/>
    </w:rPr>
  </w:style>
  <w:style w:type="character" w:customStyle="1" w:styleId="CitazioneintensaCarattere">
    <w:name w:val="Citazione intensa Carattere"/>
    <w:basedOn w:val="Carpredefinitoparagrafo"/>
    <w:link w:val="Citazioneintensa"/>
    <w:uiPriority w:val="99"/>
    <w:locked/>
    <w:rsid w:val="00A40213"/>
    <w:rPr>
      <w:rFonts w:ascii="Century Gothic" w:hAnsi="Century Gothic" w:cs="Times New Roman"/>
      <w:bCs/>
      <w:i/>
      <w:iCs/>
      <w:color w:val="000000"/>
      <w:sz w:val="24"/>
      <w:shd w:val="clear" w:color="auto" w:fill="6076B4"/>
    </w:rPr>
  </w:style>
  <w:style w:type="character" w:styleId="Enfasidelicata">
    <w:name w:val="Subtle Emphasis"/>
    <w:basedOn w:val="Carpredefinitoparagrafo"/>
    <w:uiPriority w:val="99"/>
    <w:qFormat/>
    <w:rsid w:val="00A40213"/>
    <w:rPr>
      <w:rFonts w:cs="Times New Roman"/>
      <w:i/>
      <w:iCs/>
      <w:color w:val="auto"/>
    </w:rPr>
  </w:style>
  <w:style w:type="character" w:styleId="Enfasiintensa">
    <w:name w:val="Intense Emphasis"/>
    <w:basedOn w:val="Carpredefinitoparagrafo"/>
    <w:uiPriority w:val="99"/>
    <w:qFormat/>
    <w:rsid w:val="00A40213"/>
    <w:rPr>
      <w:rFonts w:cs="Times New Roman"/>
      <w:b/>
      <w:bCs/>
      <w:i/>
      <w:iCs/>
      <w:color w:val="auto"/>
    </w:rPr>
  </w:style>
  <w:style w:type="character" w:styleId="Riferimentodelicato">
    <w:name w:val="Subtle Reference"/>
    <w:basedOn w:val="Carpredefinitoparagrafo"/>
    <w:uiPriority w:val="99"/>
    <w:qFormat/>
    <w:rsid w:val="00A40213"/>
    <w:rPr>
      <w:rFonts w:cs="Times New Roman"/>
      <w:smallCaps/>
      <w:color w:val="auto"/>
      <w:u w:val="single"/>
    </w:rPr>
  </w:style>
  <w:style w:type="character" w:styleId="Riferimentointenso">
    <w:name w:val="Intense Reference"/>
    <w:basedOn w:val="Carpredefinitoparagrafo"/>
    <w:uiPriority w:val="99"/>
    <w:qFormat/>
    <w:rsid w:val="00A40213"/>
    <w:rPr>
      <w:rFonts w:cs="Times New Roman"/>
      <w:b/>
      <w:bCs/>
      <w:color w:val="auto"/>
      <w:spacing w:val="5"/>
      <w:u w:val="single"/>
    </w:rPr>
  </w:style>
  <w:style w:type="character" w:styleId="Titolodellibro">
    <w:name w:val="Book Title"/>
    <w:basedOn w:val="Carpredefinitoparagrafo"/>
    <w:uiPriority w:val="99"/>
    <w:qFormat/>
    <w:rsid w:val="00A40213"/>
    <w:rPr>
      <w:rFonts w:cs="Times New Roman"/>
      <w:b/>
      <w:bCs/>
      <w:smallCaps/>
      <w:spacing w:val="10"/>
    </w:rPr>
  </w:style>
  <w:style w:type="paragraph" w:styleId="Titolosommario">
    <w:name w:val="TOC Heading"/>
    <w:basedOn w:val="Titolo1"/>
    <w:next w:val="Normale"/>
    <w:uiPriority w:val="99"/>
    <w:qFormat/>
    <w:rsid w:val="00A40213"/>
    <w:pPr>
      <w:spacing w:before="480" w:line="276" w:lineRule="auto"/>
      <w:outlineLvl w:val="9"/>
    </w:pPr>
    <w:rPr>
      <w:b/>
      <w:i w:val="0"/>
      <w:sz w:val="28"/>
      <w:szCs w:val="28"/>
    </w:rPr>
  </w:style>
  <w:style w:type="character" w:styleId="Testosegnaposto">
    <w:name w:val="Placeholder Text"/>
    <w:basedOn w:val="Carpredefinitoparagrafo"/>
    <w:uiPriority w:val="99"/>
    <w:semiHidden/>
    <w:rsid w:val="00A40213"/>
    <w:rPr>
      <w:rFonts w:cs="Times New Roman"/>
      <w:color w:val="808080"/>
    </w:rPr>
  </w:style>
  <w:style w:type="paragraph" w:styleId="Pidipagina">
    <w:name w:val="footer"/>
    <w:basedOn w:val="Normale"/>
    <w:link w:val="PidipaginaCarattere"/>
    <w:uiPriority w:val="99"/>
    <w:rsid w:val="00A4021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A40213"/>
    <w:rPr>
      <w:rFonts w:cs="Times New Roman"/>
    </w:rPr>
  </w:style>
  <w:style w:type="paragraph" w:styleId="Testonotaapidipagina">
    <w:name w:val="footnote text"/>
    <w:basedOn w:val="Normale"/>
    <w:link w:val="TestonotaapidipaginaCarattere"/>
    <w:uiPriority w:val="99"/>
    <w:semiHidden/>
    <w:rsid w:val="001764B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764BF"/>
    <w:rPr>
      <w:rFonts w:cs="Times New Roman"/>
      <w:sz w:val="20"/>
      <w:szCs w:val="20"/>
    </w:rPr>
  </w:style>
  <w:style w:type="character" w:styleId="Rimandonotaapidipagina">
    <w:name w:val="footnote reference"/>
    <w:basedOn w:val="Carpredefinitoparagrafo"/>
    <w:uiPriority w:val="99"/>
    <w:semiHidden/>
    <w:rsid w:val="001764BF"/>
    <w:rPr>
      <w:rFonts w:cs="Times New Roman"/>
      <w:vertAlign w:val="superscript"/>
    </w:rPr>
  </w:style>
  <w:style w:type="character" w:styleId="Collegamentoipertestuale">
    <w:name w:val="Hyperlink"/>
    <w:basedOn w:val="Carpredefinitoparagrafo"/>
    <w:uiPriority w:val="99"/>
    <w:rsid w:val="001F667B"/>
    <w:rPr>
      <w:rFonts w:cs="Times New Roman"/>
      <w:color w:val="0000FF"/>
      <w:u w:val="single"/>
    </w:rPr>
  </w:style>
  <w:style w:type="character" w:customStyle="1" w:styleId="apple-converted-space">
    <w:name w:val="apple-converted-space"/>
    <w:basedOn w:val="Carpredefinitoparagrafo"/>
    <w:uiPriority w:val="99"/>
    <w:rsid w:val="001F667B"/>
    <w:rPr>
      <w:rFonts w:cs="Times New Roman"/>
    </w:rPr>
  </w:style>
  <w:style w:type="table" w:styleId="Grigliatabella">
    <w:name w:val="Table Grid"/>
    <w:basedOn w:val="Tabellanormale"/>
    <w:uiPriority w:val="99"/>
    <w:rsid w:val="00DB1D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A40213"/>
    <w:pPr>
      <w:spacing w:after="200" w:line="276" w:lineRule="auto"/>
    </w:pPr>
  </w:style>
  <w:style w:type="paragraph" w:styleId="Titolo1">
    <w:name w:val="heading 1"/>
    <w:basedOn w:val="Normale"/>
    <w:next w:val="Normale"/>
    <w:link w:val="Titolo1Carattere"/>
    <w:uiPriority w:val="99"/>
    <w:qFormat/>
    <w:rsid w:val="00A40213"/>
    <w:pPr>
      <w:keepNext/>
      <w:keepLines/>
      <w:spacing w:before="360" w:after="0" w:line="240" w:lineRule="auto"/>
      <w:outlineLvl w:val="0"/>
    </w:pPr>
    <w:rPr>
      <w:rFonts w:ascii="Century Gothic" w:hAnsi="Century Gothic"/>
      <w:bCs/>
      <w:i/>
      <w:color w:val="6076B4"/>
      <w:sz w:val="32"/>
      <w:szCs w:val="32"/>
    </w:rPr>
  </w:style>
  <w:style w:type="paragraph" w:styleId="Titolo2">
    <w:name w:val="heading 2"/>
    <w:basedOn w:val="Normale"/>
    <w:next w:val="Normale"/>
    <w:link w:val="Titolo2Carattere"/>
    <w:uiPriority w:val="99"/>
    <w:qFormat/>
    <w:rsid w:val="00A40213"/>
    <w:pPr>
      <w:keepNext/>
      <w:keepLines/>
      <w:spacing w:before="120" w:after="0" w:line="240" w:lineRule="auto"/>
      <w:outlineLvl w:val="1"/>
    </w:pPr>
    <w:rPr>
      <w:rFonts w:ascii="Century Gothic" w:hAnsi="Century Gothic"/>
      <w:bCs/>
      <w:color w:val="2F5897"/>
      <w:sz w:val="28"/>
      <w:szCs w:val="28"/>
    </w:rPr>
  </w:style>
  <w:style w:type="paragraph" w:styleId="Titolo3">
    <w:name w:val="heading 3"/>
    <w:basedOn w:val="Normale"/>
    <w:next w:val="Normale"/>
    <w:link w:val="Titolo3Carattere"/>
    <w:uiPriority w:val="99"/>
    <w:qFormat/>
    <w:rsid w:val="00A40213"/>
    <w:pPr>
      <w:keepNext/>
      <w:keepLines/>
      <w:spacing w:before="20" w:after="0" w:line="240" w:lineRule="auto"/>
      <w:outlineLvl w:val="2"/>
    </w:pPr>
    <w:rPr>
      <w:rFonts w:ascii="Century Gothic" w:hAnsi="Century Gothic"/>
      <w:bCs/>
      <w:i/>
      <w:color w:val="2F5897"/>
      <w:sz w:val="23"/>
    </w:rPr>
  </w:style>
  <w:style w:type="paragraph" w:styleId="Titolo4">
    <w:name w:val="heading 4"/>
    <w:basedOn w:val="Normale"/>
    <w:next w:val="Normale"/>
    <w:link w:val="Titolo4Carattere"/>
    <w:uiPriority w:val="99"/>
    <w:qFormat/>
    <w:rsid w:val="00A40213"/>
    <w:pPr>
      <w:keepNext/>
      <w:keepLines/>
      <w:spacing w:before="200" w:after="0" w:line="264" w:lineRule="auto"/>
      <w:outlineLvl w:val="3"/>
    </w:pPr>
    <w:rPr>
      <w:rFonts w:ascii="Century Gothic" w:hAnsi="Century Gothic"/>
      <w:bCs/>
      <w:i/>
      <w:iCs/>
      <w:color w:val="2F5897"/>
      <w:sz w:val="23"/>
    </w:rPr>
  </w:style>
  <w:style w:type="paragraph" w:styleId="Titolo5">
    <w:name w:val="heading 5"/>
    <w:basedOn w:val="Normale"/>
    <w:next w:val="Normale"/>
    <w:link w:val="Titolo5Carattere"/>
    <w:uiPriority w:val="99"/>
    <w:qFormat/>
    <w:rsid w:val="00A40213"/>
    <w:pPr>
      <w:keepNext/>
      <w:keepLines/>
      <w:spacing w:before="200" w:after="0" w:line="264" w:lineRule="auto"/>
      <w:outlineLvl w:val="4"/>
    </w:pPr>
    <w:rPr>
      <w:rFonts w:ascii="Century Gothic" w:hAnsi="Century Gothic"/>
      <w:color w:val="000000"/>
    </w:rPr>
  </w:style>
  <w:style w:type="paragraph" w:styleId="Titolo6">
    <w:name w:val="heading 6"/>
    <w:basedOn w:val="Normale"/>
    <w:next w:val="Normale"/>
    <w:link w:val="Titolo6Carattere"/>
    <w:uiPriority w:val="99"/>
    <w:qFormat/>
    <w:rsid w:val="00A40213"/>
    <w:pPr>
      <w:keepNext/>
      <w:keepLines/>
      <w:spacing w:before="200" w:after="0" w:line="264" w:lineRule="auto"/>
      <w:outlineLvl w:val="5"/>
    </w:pPr>
    <w:rPr>
      <w:rFonts w:ascii="Century Gothic" w:hAnsi="Century Gothic"/>
      <w:i/>
      <w:iCs/>
      <w:color w:val="000000"/>
      <w:sz w:val="21"/>
    </w:rPr>
  </w:style>
  <w:style w:type="paragraph" w:styleId="Titolo7">
    <w:name w:val="heading 7"/>
    <w:basedOn w:val="Normale"/>
    <w:next w:val="Normale"/>
    <w:link w:val="Titolo7Carattere"/>
    <w:uiPriority w:val="99"/>
    <w:qFormat/>
    <w:rsid w:val="00A40213"/>
    <w:pPr>
      <w:keepNext/>
      <w:keepLines/>
      <w:spacing w:before="200" w:after="0" w:line="264" w:lineRule="auto"/>
      <w:outlineLvl w:val="6"/>
    </w:pPr>
    <w:rPr>
      <w:rFonts w:ascii="Century Gothic" w:hAnsi="Century Gothic"/>
      <w:i/>
      <w:iCs/>
      <w:color w:val="000000"/>
      <w:sz w:val="21"/>
    </w:rPr>
  </w:style>
  <w:style w:type="paragraph" w:styleId="Titolo8">
    <w:name w:val="heading 8"/>
    <w:basedOn w:val="Normale"/>
    <w:next w:val="Normale"/>
    <w:link w:val="Titolo8Carattere"/>
    <w:uiPriority w:val="99"/>
    <w:qFormat/>
    <w:rsid w:val="00A40213"/>
    <w:pPr>
      <w:keepNext/>
      <w:keepLines/>
      <w:spacing w:before="200" w:after="0" w:line="264" w:lineRule="auto"/>
      <w:outlineLvl w:val="7"/>
    </w:pPr>
    <w:rPr>
      <w:rFonts w:ascii="Century Gothic" w:hAnsi="Century Gothic"/>
      <w:color w:val="000000"/>
      <w:sz w:val="20"/>
      <w:szCs w:val="20"/>
    </w:rPr>
  </w:style>
  <w:style w:type="paragraph" w:styleId="Titolo9">
    <w:name w:val="heading 9"/>
    <w:basedOn w:val="Normale"/>
    <w:next w:val="Normale"/>
    <w:link w:val="Titolo9Carattere"/>
    <w:uiPriority w:val="99"/>
    <w:qFormat/>
    <w:rsid w:val="00A40213"/>
    <w:pPr>
      <w:keepNext/>
      <w:keepLines/>
      <w:spacing w:before="200" w:after="0" w:line="264" w:lineRule="auto"/>
      <w:outlineLvl w:val="8"/>
    </w:pPr>
    <w:rPr>
      <w:rFonts w:ascii="Century Gothic" w:hAnsi="Century Gothic"/>
      <w:i/>
      <w:iCs/>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40213"/>
    <w:rPr>
      <w:rFonts w:ascii="Century Gothic" w:hAnsi="Century Gothic" w:cs="Times New Roman"/>
      <w:bCs/>
      <w:i/>
      <w:color w:val="auto"/>
      <w:sz w:val="32"/>
      <w:szCs w:val="32"/>
    </w:rPr>
  </w:style>
  <w:style w:type="character" w:customStyle="1" w:styleId="Titolo2Carattere">
    <w:name w:val="Titolo 2 Carattere"/>
    <w:basedOn w:val="Carpredefinitoparagrafo"/>
    <w:link w:val="Titolo2"/>
    <w:uiPriority w:val="99"/>
    <w:locked/>
    <w:rsid w:val="00A40213"/>
    <w:rPr>
      <w:rFonts w:ascii="Century Gothic" w:hAnsi="Century Gothic" w:cs="Times New Roman"/>
      <w:bCs/>
      <w:color w:val="auto"/>
      <w:sz w:val="28"/>
      <w:szCs w:val="28"/>
    </w:rPr>
  </w:style>
  <w:style w:type="character" w:customStyle="1" w:styleId="Titolo3Carattere">
    <w:name w:val="Titolo 3 Carattere"/>
    <w:basedOn w:val="Carpredefinitoparagrafo"/>
    <w:link w:val="Titolo3"/>
    <w:uiPriority w:val="99"/>
    <w:locked/>
    <w:rsid w:val="00A40213"/>
    <w:rPr>
      <w:rFonts w:ascii="Century Gothic" w:hAnsi="Century Gothic" w:cs="Times New Roman"/>
      <w:bCs/>
      <w:i/>
      <w:color w:val="auto"/>
      <w:sz w:val="23"/>
    </w:rPr>
  </w:style>
  <w:style w:type="character" w:customStyle="1" w:styleId="Titolo4Carattere">
    <w:name w:val="Titolo 4 Carattere"/>
    <w:basedOn w:val="Carpredefinitoparagrafo"/>
    <w:link w:val="Titolo4"/>
    <w:uiPriority w:val="99"/>
    <w:locked/>
    <w:rsid w:val="00A40213"/>
    <w:rPr>
      <w:rFonts w:ascii="Century Gothic" w:hAnsi="Century Gothic" w:cs="Times New Roman"/>
      <w:bCs/>
      <w:i/>
      <w:iCs/>
      <w:color w:val="auto"/>
      <w:sz w:val="23"/>
    </w:rPr>
  </w:style>
  <w:style w:type="character" w:customStyle="1" w:styleId="Titolo5Carattere">
    <w:name w:val="Titolo 5 Carattere"/>
    <w:basedOn w:val="Carpredefinitoparagrafo"/>
    <w:link w:val="Titolo5"/>
    <w:uiPriority w:val="99"/>
    <w:semiHidden/>
    <w:locked/>
    <w:rsid w:val="00A40213"/>
    <w:rPr>
      <w:rFonts w:ascii="Century Gothic" w:hAnsi="Century Gothic" w:cs="Times New Roman"/>
      <w:color w:val="000000"/>
    </w:rPr>
  </w:style>
  <w:style w:type="character" w:customStyle="1" w:styleId="Titolo6Carattere">
    <w:name w:val="Titolo 6 Carattere"/>
    <w:basedOn w:val="Carpredefinitoparagrafo"/>
    <w:link w:val="Titolo6"/>
    <w:uiPriority w:val="99"/>
    <w:semiHidden/>
    <w:locked/>
    <w:rsid w:val="00A40213"/>
    <w:rPr>
      <w:rFonts w:ascii="Century Gothic" w:hAnsi="Century Gothic" w:cs="Times New Roman"/>
      <w:i/>
      <w:iCs/>
      <w:color w:val="000000"/>
      <w:sz w:val="21"/>
    </w:rPr>
  </w:style>
  <w:style w:type="character" w:customStyle="1" w:styleId="Titolo7Carattere">
    <w:name w:val="Titolo 7 Carattere"/>
    <w:basedOn w:val="Carpredefinitoparagrafo"/>
    <w:link w:val="Titolo7"/>
    <w:uiPriority w:val="99"/>
    <w:semiHidden/>
    <w:locked/>
    <w:rsid w:val="00A40213"/>
    <w:rPr>
      <w:rFonts w:ascii="Century Gothic" w:hAnsi="Century Gothic" w:cs="Times New Roman"/>
      <w:i/>
      <w:iCs/>
      <w:color w:val="000000"/>
      <w:sz w:val="21"/>
    </w:rPr>
  </w:style>
  <w:style w:type="character" w:customStyle="1" w:styleId="Titolo8Carattere">
    <w:name w:val="Titolo 8 Carattere"/>
    <w:basedOn w:val="Carpredefinitoparagrafo"/>
    <w:link w:val="Titolo8"/>
    <w:uiPriority w:val="99"/>
    <w:semiHidden/>
    <w:locked/>
    <w:rsid w:val="00A40213"/>
    <w:rPr>
      <w:rFonts w:ascii="Century Gothic" w:hAnsi="Century Gothic" w:cs="Times New Roman"/>
      <w:color w:val="000000"/>
      <w:sz w:val="20"/>
      <w:szCs w:val="20"/>
    </w:rPr>
  </w:style>
  <w:style w:type="character" w:customStyle="1" w:styleId="Titolo9Carattere">
    <w:name w:val="Titolo 9 Carattere"/>
    <w:basedOn w:val="Carpredefinitoparagrafo"/>
    <w:link w:val="Titolo9"/>
    <w:uiPriority w:val="99"/>
    <w:semiHidden/>
    <w:locked/>
    <w:rsid w:val="00A40213"/>
    <w:rPr>
      <w:rFonts w:ascii="Century Gothic" w:hAnsi="Century Gothic" w:cs="Times New Roman"/>
      <w:i/>
      <w:iCs/>
      <w:color w:val="000000"/>
      <w:sz w:val="20"/>
      <w:szCs w:val="20"/>
    </w:rPr>
  </w:style>
  <w:style w:type="paragraph" w:styleId="Titolo">
    <w:name w:val="Title"/>
    <w:basedOn w:val="Normale"/>
    <w:next w:val="Normale"/>
    <w:link w:val="TitoloCarattere"/>
    <w:uiPriority w:val="99"/>
    <w:qFormat/>
    <w:rsid w:val="00A40213"/>
    <w:pPr>
      <w:spacing w:after="300" w:line="240" w:lineRule="auto"/>
      <w:contextualSpacing/>
    </w:pPr>
    <w:rPr>
      <w:rFonts w:ascii="Century Gothic" w:hAnsi="Century Gothic"/>
      <w:color w:val="2F5897"/>
      <w:spacing w:val="5"/>
      <w:kern w:val="28"/>
      <w:sz w:val="60"/>
      <w:szCs w:val="60"/>
    </w:rPr>
  </w:style>
  <w:style w:type="character" w:customStyle="1" w:styleId="TitoloCarattere">
    <w:name w:val="Titolo Carattere"/>
    <w:basedOn w:val="Carpredefinitoparagrafo"/>
    <w:link w:val="Titolo"/>
    <w:uiPriority w:val="99"/>
    <w:locked/>
    <w:rsid w:val="00A40213"/>
    <w:rPr>
      <w:rFonts w:ascii="Century Gothic" w:hAnsi="Century Gothic" w:cs="Times New Roman"/>
      <w:color w:val="auto"/>
      <w:spacing w:val="5"/>
      <w:kern w:val="28"/>
      <w:sz w:val="60"/>
      <w:szCs w:val="60"/>
    </w:rPr>
  </w:style>
  <w:style w:type="paragraph" w:styleId="Sottotitolo">
    <w:name w:val="Subtitle"/>
    <w:basedOn w:val="Normale"/>
    <w:next w:val="Normale"/>
    <w:link w:val="SottotitoloCarattere"/>
    <w:uiPriority w:val="99"/>
    <w:qFormat/>
    <w:rsid w:val="00A40213"/>
    <w:pPr>
      <w:numPr>
        <w:ilvl w:val="1"/>
      </w:numPr>
    </w:pPr>
    <w:rPr>
      <w:iCs/>
      <w:color w:val="000000"/>
      <w:spacing w:val="15"/>
      <w:sz w:val="24"/>
      <w:szCs w:val="24"/>
    </w:rPr>
  </w:style>
  <w:style w:type="character" w:customStyle="1" w:styleId="SottotitoloCarattere">
    <w:name w:val="Sottotitolo Carattere"/>
    <w:basedOn w:val="Carpredefinitoparagrafo"/>
    <w:link w:val="Sottotitolo"/>
    <w:uiPriority w:val="99"/>
    <w:locked/>
    <w:rsid w:val="00A40213"/>
    <w:rPr>
      <w:rFonts w:eastAsia="Times New Roman" w:cs="Times New Roman"/>
      <w:iCs/>
      <w:color w:val="auto"/>
      <w:spacing w:val="15"/>
      <w:sz w:val="24"/>
      <w:szCs w:val="24"/>
    </w:rPr>
  </w:style>
  <w:style w:type="paragraph" w:styleId="Intestazione">
    <w:name w:val="header"/>
    <w:basedOn w:val="Normale"/>
    <w:link w:val="IntestazioneCarattere"/>
    <w:uiPriority w:val="99"/>
    <w:rsid w:val="00A40213"/>
    <w:pPr>
      <w:tabs>
        <w:tab w:val="center" w:pos="4320"/>
        <w:tab w:val="right" w:pos="8640"/>
      </w:tabs>
    </w:pPr>
  </w:style>
  <w:style w:type="character" w:customStyle="1" w:styleId="IntestazioneCarattere">
    <w:name w:val="Intestazione Carattere"/>
    <w:basedOn w:val="Carpredefinitoparagrafo"/>
    <w:link w:val="Intestazione"/>
    <w:uiPriority w:val="99"/>
    <w:locked/>
    <w:rsid w:val="00A40213"/>
    <w:rPr>
      <w:rFonts w:eastAsia="Times New Roman" w:cs="Times New Roman"/>
    </w:rPr>
  </w:style>
  <w:style w:type="paragraph" w:styleId="Nessunaspaziatura">
    <w:name w:val="No Spacing"/>
    <w:link w:val="NessunaspaziaturaCarattere"/>
    <w:uiPriority w:val="99"/>
    <w:qFormat/>
    <w:rsid w:val="00A40213"/>
  </w:style>
  <w:style w:type="character" w:customStyle="1" w:styleId="NessunaspaziaturaCarattere">
    <w:name w:val="Nessuna spaziatura Carattere"/>
    <w:basedOn w:val="Carpredefinitoparagrafo"/>
    <w:link w:val="Nessunaspaziatura"/>
    <w:uiPriority w:val="99"/>
    <w:locked/>
    <w:rsid w:val="00A40213"/>
    <w:rPr>
      <w:rFonts w:cs="Times New Roman"/>
      <w:sz w:val="22"/>
      <w:szCs w:val="22"/>
      <w:lang w:val="it-IT" w:eastAsia="it-IT" w:bidi="ar-SA"/>
    </w:rPr>
  </w:style>
  <w:style w:type="paragraph" w:styleId="Testofumetto">
    <w:name w:val="Balloon Text"/>
    <w:basedOn w:val="Normale"/>
    <w:link w:val="TestofumettoCarattere"/>
    <w:uiPriority w:val="99"/>
    <w:semiHidden/>
    <w:rsid w:val="00A402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0213"/>
    <w:rPr>
      <w:rFonts w:ascii="Tahoma" w:hAnsi="Tahoma" w:cs="Tahoma"/>
      <w:sz w:val="16"/>
      <w:szCs w:val="16"/>
    </w:rPr>
  </w:style>
  <w:style w:type="paragraph" w:styleId="Didascalia">
    <w:name w:val="caption"/>
    <w:basedOn w:val="Normale"/>
    <w:next w:val="Normale"/>
    <w:uiPriority w:val="99"/>
    <w:qFormat/>
    <w:rsid w:val="00A40213"/>
    <w:pPr>
      <w:spacing w:line="240" w:lineRule="auto"/>
    </w:pPr>
    <w:rPr>
      <w:b/>
      <w:bCs/>
      <w:color w:val="2F5897"/>
      <w:sz w:val="18"/>
      <w:szCs w:val="18"/>
    </w:rPr>
  </w:style>
  <w:style w:type="character" w:styleId="Enfasigrassetto">
    <w:name w:val="Strong"/>
    <w:basedOn w:val="Carpredefinitoparagrafo"/>
    <w:uiPriority w:val="99"/>
    <w:qFormat/>
    <w:rsid w:val="00A40213"/>
    <w:rPr>
      <w:rFonts w:cs="Times New Roman"/>
      <w:b/>
      <w:bCs/>
    </w:rPr>
  </w:style>
  <w:style w:type="character" w:styleId="Enfasicorsivo">
    <w:name w:val="Emphasis"/>
    <w:basedOn w:val="Carpredefinitoparagrafo"/>
    <w:uiPriority w:val="99"/>
    <w:qFormat/>
    <w:rsid w:val="00A40213"/>
    <w:rPr>
      <w:rFonts w:cs="Times New Roman"/>
      <w:i/>
      <w:iCs/>
      <w:color w:val="auto"/>
    </w:rPr>
  </w:style>
  <w:style w:type="paragraph" w:styleId="Paragrafoelenco">
    <w:name w:val="List Paragraph"/>
    <w:basedOn w:val="Normale"/>
    <w:uiPriority w:val="99"/>
    <w:qFormat/>
    <w:rsid w:val="00A40213"/>
    <w:pPr>
      <w:spacing w:after="160" w:line="240" w:lineRule="auto"/>
      <w:ind w:left="1008" w:hanging="288"/>
      <w:contextualSpacing/>
    </w:pPr>
    <w:rPr>
      <w:sz w:val="21"/>
    </w:rPr>
  </w:style>
  <w:style w:type="paragraph" w:styleId="Citazione">
    <w:name w:val="Quote"/>
    <w:basedOn w:val="Normale"/>
    <w:next w:val="Normale"/>
    <w:link w:val="CitazioneCarattere"/>
    <w:uiPriority w:val="99"/>
    <w:qFormat/>
    <w:rsid w:val="00A40213"/>
    <w:pPr>
      <w:spacing w:before="160" w:after="160" w:line="300" w:lineRule="auto"/>
      <w:ind w:left="144" w:right="144"/>
      <w:jc w:val="center"/>
    </w:pPr>
    <w:rPr>
      <w:rFonts w:ascii="Century Gothic" w:hAnsi="Century Gothic"/>
      <w:i/>
      <w:iCs/>
      <w:color w:val="6076B4"/>
      <w:sz w:val="24"/>
    </w:rPr>
  </w:style>
  <w:style w:type="character" w:customStyle="1" w:styleId="CitazioneCarattere">
    <w:name w:val="Citazione Carattere"/>
    <w:basedOn w:val="Carpredefinitoparagrafo"/>
    <w:link w:val="Citazione"/>
    <w:uiPriority w:val="99"/>
    <w:locked/>
    <w:rsid w:val="00A40213"/>
    <w:rPr>
      <w:rFonts w:ascii="Century Gothic" w:hAnsi="Century Gothic" w:cs="Times New Roman"/>
      <w:i/>
      <w:iCs/>
      <w:color w:val="auto"/>
      <w:sz w:val="24"/>
    </w:rPr>
  </w:style>
  <w:style w:type="paragraph" w:styleId="Citazioneintensa">
    <w:name w:val="Intense Quote"/>
    <w:basedOn w:val="Normale"/>
    <w:next w:val="Normale"/>
    <w:link w:val="CitazioneintensaCarattere"/>
    <w:uiPriority w:val="99"/>
    <w:qFormat/>
    <w:rsid w:val="00A40213"/>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hAnsi="Century Gothic"/>
      <w:bCs/>
      <w:i/>
      <w:iCs/>
      <w:color w:val="000000"/>
      <w:sz w:val="24"/>
    </w:rPr>
  </w:style>
  <w:style w:type="character" w:customStyle="1" w:styleId="CitazioneintensaCarattere">
    <w:name w:val="Citazione intensa Carattere"/>
    <w:basedOn w:val="Carpredefinitoparagrafo"/>
    <w:link w:val="Citazioneintensa"/>
    <w:uiPriority w:val="99"/>
    <w:locked/>
    <w:rsid w:val="00A40213"/>
    <w:rPr>
      <w:rFonts w:ascii="Century Gothic" w:hAnsi="Century Gothic" w:cs="Times New Roman"/>
      <w:bCs/>
      <w:i/>
      <w:iCs/>
      <w:color w:val="000000"/>
      <w:sz w:val="24"/>
      <w:shd w:val="clear" w:color="auto" w:fill="6076B4"/>
    </w:rPr>
  </w:style>
  <w:style w:type="character" w:styleId="Enfasidelicata">
    <w:name w:val="Subtle Emphasis"/>
    <w:basedOn w:val="Carpredefinitoparagrafo"/>
    <w:uiPriority w:val="99"/>
    <w:qFormat/>
    <w:rsid w:val="00A40213"/>
    <w:rPr>
      <w:rFonts w:cs="Times New Roman"/>
      <w:i/>
      <w:iCs/>
      <w:color w:val="auto"/>
    </w:rPr>
  </w:style>
  <w:style w:type="character" w:styleId="Enfasiintensa">
    <w:name w:val="Intense Emphasis"/>
    <w:basedOn w:val="Carpredefinitoparagrafo"/>
    <w:uiPriority w:val="99"/>
    <w:qFormat/>
    <w:rsid w:val="00A40213"/>
    <w:rPr>
      <w:rFonts w:cs="Times New Roman"/>
      <w:b/>
      <w:bCs/>
      <w:i/>
      <w:iCs/>
      <w:color w:val="auto"/>
    </w:rPr>
  </w:style>
  <w:style w:type="character" w:styleId="Riferimentodelicato">
    <w:name w:val="Subtle Reference"/>
    <w:basedOn w:val="Carpredefinitoparagrafo"/>
    <w:uiPriority w:val="99"/>
    <w:qFormat/>
    <w:rsid w:val="00A40213"/>
    <w:rPr>
      <w:rFonts w:cs="Times New Roman"/>
      <w:smallCaps/>
      <w:color w:val="auto"/>
      <w:u w:val="single"/>
    </w:rPr>
  </w:style>
  <w:style w:type="character" w:styleId="Riferimentointenso">
    <w:name w:val="Intense Reference"/>
    <w:basedOn w:val="Carpredefinitoparagrafo"/>
    <w:uiPriority w:val="99"/>
    <w:qFormat/>
    <w:rsid w:val="00A40213"/>
    <w:rPr>
      <w:rFonts w:cs="Times New Roman"/>
      <w:b/>
      <w:bCs/>
      <w:color w:val="auto"/>
      <w:spacing w:val="5"/>
      <w:u w:val="single"/>
    </w:rPr>
  </w:style>
  <w:style w:type="character" w:styleId="Titolodellibro">
    <w:name w:val="Book Title"/>
    <w:basedOn w:val="Carpredefinitoparagrafo"/>
    <w:uiPriority w:val="99"/>
    <w:qFormat/>
    <w:rsid w:val="00A40213"/>
    <w:rPr>
      <w:rFonts w:cs="Times New Roman"/>
      <w:b/>
      <w:bCs/>
      <w:smallCaps/>
      <w:spacing w:val="10"/>
    </w:rPr>
  </w:style>
  <w:style w:type="paragraph" w:styleId="Titolosommario">
    <w:name w:val="TOC Heading"/>
    <w:basedOn w:val="Titolo1"/>
    <w:next w:val="Normale"/>
    <w:uiPriority w:val="99"/>
    <w:qFormat/>
    <w:rsid w:val="00A40213"/>
    <w:pPr>
      <w:spacing w:before="480" w:line="276" w:lineRule="auto"/>
      <w:outlineLvl w:val="9"/>
    </w:pPr>
    <w:rPr>
      <w:b/>
      <w:i w:val="0"/>
      <w:sz w:val="28"/>
      <w:szCs w:val="28"/>
    </w:rPr>
  </w:style>
  <w:style w:type="character" w:styleId="Testosegnaposto">
    <w:name w:val="Placeholder Text"/>
    <w:basedOn w:val="Carpredefinitoparagrafo"/>
    <w:uiPriority w:val="99"/>
    <w:semiHidden/>
    <w:rsid w:val="00A40213"/>
    <w:rPr>
      <w:rFonts w:cs="Times New Roman"/>
      <w:color w:val="808080"/>
    </w:rPr>
  </w:style>
  <w:style w:type="paragraph" w:styleId="Pidipagina">
    <w:name w:val="footer"/>
    <w:basedOn w:val="Normale"/>
    <w:link w:val="PidipaginaCarattere"/>
    <w:uiPriority w:val="99"/>
    <w:rsid w:val="00A4021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A40213"/>
    <w:rPr>
      <w:rFonts w:cs="Times New Roman"/>
    </w:rPr>
  </w:style>
  <w:style w:type="paragraph" w:styleId="Testonotaapidipagina">
    <w:name w:val="footnote text"/>
    <w:basedOn w:val="Normale"/>
    <w:link w:val="TestonotaapidipaginaCarattere"/>
    <w:uiPriority w:val="99"/>
    <w:semiHidden/>
    <w:rsid w:val="001764B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764BF"/>
    <w:rPr>
      <w:rFonts w:cs="Times New Roman"/>
      <w:sz w:val="20"/>
      <w:szCs w:val="20"/>
    </w:rPr>
  </w:style>
  <w:style w:type="character" w:styleId="Rimandonotaapidipagina">
    <w:name w:val="footnote reference"/>
    <w:basedOn w:val="Carpredefinitoparagrafo"/>
    <w:uiPriority w:val="99"/>
    <w:semiHidden/>
    <w:rsid w:val="001764BF"/>
    <w:rPr>
      <w:rFonts w:cs="Times New Roman"/>
      <w:vertAlign w:val="superscript"/>
    </w:rPr>
  </w:style>
  <w:style w:type="character" w:styleId="Collegamentoipertestuale">
    <w:name w:val="Hyperlink"/>
    <w:basedOn w:val="Carpredefinitoparagrafo"/>
    <w:uiPriority w:val="99"/>
    <w:rsid w:val="001F667B"/>
    <w:rPr>
      <w:rFonts w:cs="Times New Roman"/>
      <w:color w:val="0000FF"/>
      <w:u w:val="single"/>
    </w:rPr>
  </w:style>
  <w:style w:type="character" w:customStyle="1" w:styleId="apple-converted-space">
    <w:name w:val="apple-converted-space"/>
    <w:basedOn w:val="Carpredefinitoparagrafo"/>
    <w:uiPriority w:val="99"/>
    <w:rsid w:val="001F667B"/>
    <w:rPr>
      <w:rFonts w:cs="Times New Roman"/>
    </w:rPr>
  </w:style>
  <w:style w:type="table" w:styleId="Grigliatabella">
    <w:name w:val="Table Grid"/>
    <w:basedOn w:val="Tabellanormale"/>
    <w:uiPriority w:val="99"/>
    <w:rsid w:val="00DB1D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waste/waste-to-energy.pdf" TargetMode="External"/><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bientebrescia.it/Inceneritore2017TerzaLineaStudio.pdf" TargetMode="External"/><Relationship Id="rId4" Type="http://schemas.openxmlformats.org/officeDocument/2006/relationships/settings" Target="settings.xml"/><Relationship Id="rId9" Type="http://schemas.openxmlformats.org/officeDocument/2006/relationships/hyperlink" Target="http://eu-uhi.eu/it/focus-del-progetto/"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AppData\Roaming\Microsoft\Templates\Report%20(schema%20Execu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(schema Executive).dotx</Template>
  <TotalTime>0</TotalTime>
  <Pages>12</Pages>
  <Words>5491</Words>
  <Characters>31305</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OSSERVAZIONI DEL GRUPPO DI RICERCA DEL TAVOLO BASTA VELENI allo studio di Gian Paolo Beretta  e Stefano Consonni, “Ruolo del termoutilizzatore di Brescia nel contesto energetico-ambientale del Comune di Brescia”, 8 gennaio 2018</vt:lpstr>
    </vt:vector>
  </TitlesOfParts>
  <Company/>
  <LinksUpToDate>false</LinksUpToDate>
  <CharactersWithSpaces>36723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OSSERVAZIONI DEL GRUPPO DI RICERCA DEL TAVOLO BASTA VELENI allo studio di Gian Paolo Beretta  e Stefano Consonni, “Ruolo del termoutilizzatore di Brescia nel contesto energetico-ambientale del Comune di Brescia”, 8 gennaio 2018</dc:title>
  <dc:creator>Massimo</dc:creator>
  <cp:lastModifiedBy>max</cp:lastModifiedBy>
  <cp:revision>2</cp:revision>
  <cp:lastPrinted>2018-02-20T15:40:00Z</cp:lastPrinted>
  <dcterms:created xsi:type="dcterms:W3CDTF">2018-02-20T15:40:00Z</dcterms:created>
  <dcterms:modified xsi:type="dcterms:W3CDTF">2018-02-20T15:40:00Z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